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2B" w:rsidRDefault="00B3502B" w:rsidP="00182E1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2319">
        <w:rPr>
          <w:rFonts w:ascii="GHEA Grapalat" w:hAnsi="GHEA Grapalat"/>
          <w:b/>
          <w:sz w:val="24"/>
          <w:szCs w:val="24"/>
          <w:lang w:val="hy-AM"/>
        </w:rPr>
        <w:t>ՀԱՇՎԵՔՆՆԻՉ ՊԱԼԱՏԻ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466E6" w:rsidRPr="00A82319">
        <w:rPr>
          <w:rFonts w:ascii="GHEA Grapalat" w:hAnsi="GHEA Grapalat"/>
          <w:b/>
          <w:sz w:val="24"/>
          <w:szCs w:val="24"/>
          <w:lang w:val="hy-AM"/>
        </w:rPr>
        <w:t>202</w:t>
      </w:r>
      <w:r w:rsidR="00B466E6">
        <w:rPr>
          <w:rFonts w:ascii="GHEA Grapalat" w:hAnsi="GHEA Grapalat"/>
          <w:b/>
          <w:sz w:val="24"/>
          <w:szCs w:val="24"/>
          <w:lang w:val="hy-AM"/>
        </w:rPr>
        <w:t>6</w:t>
      </w:r>
      <w:r w:rsidRPr="00A8231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AE2CFE">
        <w:rPr>
          <w:rFonts w:ascii="GHEA Grapalat" w:hAnsi="GHEA Grapalat"/>
          <w:b/>
          <w:sz w:val="24"/>
          <w:szCs w:val="24"/>
          <w:lang w:val="hy-AM"/>
        </w:rPr>
        <w:t>ՄԱՅԻՍԻ 26</w:t>
      </w:r>
      <w:r>
        <w:rPr>
          <w:rFonts w:ascii="GHEA Grapalat" w:hAnsi="GHEA Grapalat"/>
          <w:b/>
          <w:sz w:val="24"/>
          <w:szCs w:val="24"/>
          <w:lang w:val="af-ZA"/>
        </w:rPr>
        <w:t>-</w:t>
      </w:r>
      <w:r w:rsidRPr="00A82319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2319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182E1B" w:rsidRPr="00A82319" w:rsidRDefault="00182E1B" w:rsidP="00182E1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502B" w:rsidRDefault="00B3502B" w:rsidP="00B3502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EA104C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:rsidR="00F81E49" w:rsidRDefault="00B3502B" w:rsidP="00182E1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Pr="00B3502B">
        <w:rPr>
          <w:rFonts w:ascii="GHEA Grapalat" w:hAnsi="GHEA Grapalat"/>
          <w:b/>
          <w:i/>
          <w:lang w:val="hy-AM"/>
        </w:rPr>
        <w:t>0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:rsidR="00F81E49" w:rsidRDefault="00F81E49" w:rsidP="00B3502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:rsidR="00B04E1D" w:rsidRPr="007C41E0" w:rsidRDefault="00AE2CFE" w:rsidP="007C41E0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Hlk170726539"/>
      <w:r w:rsidRPr="00AE2CF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Հաշվեքննիչ պալատի </w:t>
      </w:r>
      <w:r w:rsidRPr="00AE2CFE">
        <w:rPr>
          <w:rFonts w:ascii="GHEA Grapalat" w:hAnsi="GHEA Grapalat"/>
          <w:sz w:val="24"/>
          <w:szCs w:val="24"/>
          <w:lang w:val="hy-AM"/>
        </w:rPr>
        <w:t>2024 թվականի սեպտեմբերի 9-ի № 91-Լ որոշման մեջ փոփոխություն կատարելու</w:t>
      </w:r>
      <w:r w:rsidRPr="00AE2CFE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մասին</w:t>
      </w:r>
      <w:bookmarkEnd w:id="0"/>
      <w:r w:rsidR="000C3C3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6A132B" w:rsidRPr="006A132B" w:rsidRDefault="006A132B" w:rsidP="006A132B">
      <w:pPr>
        <w:jc w:val="center"/>
        <w:rPr>
          <w:rFonts w:ascii="GHEA Grapalat" w:hAnsi="GHEA Grapalat" w:cs="Arial"/>
          <w:i/>
          <w:sz w:val="22"/>
          <w:szCs w:val="22"/>
          <w:lang w:val="hy-AM"/>
        </w:rPr>
      </w:pPr>
      <w:r w:rsidRPr="006A132B">
        <w:rPr>
          <w:rFonts w:ascii="GHEA Grapalat" w:hAnsi="GHEA Grapalat" w:cs="Sylfaen"/>
          <w:bCs/>
          <w:i/>
          <w:iCs/>
          <w:sz w:val="22"/>
          <w:szCs w:val="22"/>
          <w:lang w:val="hy-AM" w:bidi="hy-AM"/>
        </w:rPr>
        <w:t xml:space="preserve">Զեկուցող՝ </w:t>
      </w:r>
      <w:r w:rsidRPr="006A132B">
        <w:rPr>
          <w:rFonts w:ascii="GHEA Grapalat" w:hAnsi="GHEA Grapalat" w:cs="Arial"/>
          <w:i/>
          <w:sz w:val="22"/>
          <w:szCs w:val="22"/>
          <w:lang w:val="hy-AM"/>
        </w:rPr>
        <w:t xml:space="preserve">Հաշվեքննիչ պալատի մեթոդաբանության և տեղեկատվական </w:t>
      </w:r>
    </w:p>
    <w:p w:rsidR="006A132B" w:rsidRDefault="006A132B" w:rsidP="006A132B">
      <w:pPr>
        <w:jc w:val="center"/>
        <w:rPr>
          <w:rFonts w:ascii="GHEA Grapalat" w:hAnsi="GHEA Grapalat"/>
          <w:bCs/>
          <w:i/>
          <w:iCs/>
          <w:sz w:val="22"/>
          <w:szCs w:val="22"/>
          <w:lang w:val="hy-AM" w:bidi="hy-AM"/>
        </w:rPr>
      </w:pPr>
      <w:r w:rsidRPr="006A132B">
        <w:rPr>
          <w:rFonts w:ascii="GHEA Grapalat" w:hAnsi="GHEA Grapalat" w:cs="Arial"/>
          <w:i/>
          <w:sz w:val="22"/>
          <w:szCs w:val="22"/>
          <w:lang w:val="hy-AM"/>
        </w:rPr>
        <w:t xml:space="preserve">տեխնոլոգիաների վարչության ավագ մեթոդաբան, </w:t>
      </w:r>
      <w:r w:rsidRPr="006A132B">
        <w:rPr>
          <w:rFonts w:ascii="GHEA Grapalat" w:hAnsi="GHEA Grapalat"/>
          <w:bCs/>
          <w:i/>
          <w:iCs/>
          <w:sz w:val="22"/>
          <w:szCs w:val="22"/>
          <w:lang w:val="hy-AM" w:bidi="hy-AM"/>
        </w:rPr>
        <w:t>վարչության պետի</w:t>
      </w:r>
    </w:p>
    <w:p w:rsidR="006A132B" w:rsidRPr="006A132B" w:rsidRDefault="006A132B" w:rsidP="006A132B">
      <w:pPr>
        <w:jc w:val="center"/>
        <w:rPr>
          <w:rFonts w:ascii="GHEA Grapalat" w:hAnsi="GHEA Grapalat" w:cs="Arial"/>
          <w:i/>
          <w:sz w:val="22"/>
          <w:szCs w:val="22"/>
          <w:lang w:val="hy-AM"/>
        </w:rPr>
      </w:pPr>
      <w:r w:rsidRPr="006A132B">
        <w:rPr>
          <w:rFonts w:ascii="GHEA Grapalat" w:hAnsi="GHEA Grapalat"/>
          <w:bCs/>
          <w:i/>
          <w:iCs/>
          <w:sz w:val="22"/>
          <w:szCs w:val="22"/>
          <w:lang w:val="hy-AM" w:bidi="hy-AM"/>
        </w:rPr>
        <w:t xml:space="preserve"> պարտականությունները կատարող Գայանե Մաթևոսյան</w:t>
      </w:r>
    </w:p>
    <w:p w:rsidR="00AE2CFE" w:rsidRDefault="00AE2CFE" w:rsidP="006A132B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 w:cs="Arial"/>
          <w:i/>
          <w:lang w:val="hy-AM"/>
        </w:rPr>
      </w:pPr>
    </w:p>
    <w:p w:rsidR="00613DC0" w:rsidRDefault="00613DC0" w:rsidP="006A132B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 w:cs="Arial"/>
          <w:i/>
          <w:lang w:val="hy-AM"/>
        </w:rPr>
      </w:pPr>
    </w:p>
    <w:p w:rsidR="00613DC0" w:rsidRPr="00613DC0" w:rsidRDefault="00613DC0" w:rsidP="0005667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613DC0">
        <w:rPr>
          <w:rFonts w:ascii="GHEA Grapalat" w:hAnsi="GHEA Grapalat" w:cs="Sylfaen"/>
          <w:sz w:val="24"/>
          <w:szCs w:val="24"/>
          <w:lang w:val="hy-AM"/>
        </w:rPr>
        <w:t>աշվեքննիչ պալատի 2025 թվականի գործունեության վերաբերյալ տարեկան հաղորդումը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13DC0" w:rsidRPr="00613DC0" w:rsidRDefault="00613DC0" w:rsidP="005966D1">
      <w:pPr>
        <w:pStyle w:val="ListParagraph"/>
        <w:jc w:val="both"/>
        <w:rPr>
          <w:rFonts w:ascii="GHEA Grapalat" w:hAnsi="GHEA Grapalat" w:cs="Arial"/>
          <w:i/>
          <w:lang w:val="hy-AM"/>
        </w:rPr>
      </w:pPr>
      <w:bookmarkStart w:id="1" w:name="_GoBack"/>
      <w:bookmarkEnd w:id="1"/>
      <w:r w:rsidRPr="00613DC0">
        <w:rPr>
          <w:rFonts w:ascii="GHEA Grapalat" w:hAnsi="GHEA Grapalat" w:cs="Sylfaen"/>
          <w:bCs/>
          <w:i/>
          <w:iCs/>
          <w:lang w:val="hy-AM" w:bidi="hy-AM"/>
        </w:rPr>
        <w:t xml:space="preserve">Զեկուցող՝ </w:t>
      </w:r>
      <w:r w:rsidRPr="00613DC0">
        <w:rPr>
          <w:rFonts w:ascii="GHEA Grapalat" w:hAnsi="GHEA Grapalat" w:cs="Arial"/>
          <w:i/>
          <w:lang w:val="hy-AM"/>
        </w:rPr>
        <w:t>Հաշվեքննիչ պալատի մեթոդաբանության և տեղեկատվական</w:t>
      </w:r>
    </w:p>
    <w:p w:rsidR="00613DC0" w:rsidRPr="00613DC0" w:rsidRDefault="00613DC0" w:rsidP="005966D1">
      <w:pPr>
        <w:pStyle w:val="ListParagraph"/>
        <w:jc w:val="both"/>
        <w:rPr>
          <w:rFonts w:ascii="GHEA Grapalat" w:hAnsi="GHEA Grapalat"/>
          <w:bCs/>
          <w:i/>
          <w:iCs/>
          <w:lang w:val="hy-AM" w:bidi="hy-AM"/>
        </w:rPr>
      </w:pPr>
      <w:r w:rsidRPr="00613DC0">
        <w:rPr>
          <w:rFonts w:ascii="GHEA Grapalat" w:hAnsi="GHEA Grapalat" w:cs="Arial"/>
          <w:i/>
          <w:lang w:val="hy-AM"/>
        </w:rPr>
        <w:t xml:space="preserve">տեխնոլոգիաների վարչության ավագ մեթոդաբան, </w:t>
      </w:r>
      <w:r w:rsidRPr="00613DC0">
        <w:rPr>
          <w:rFonts w:ascii="GHEA Grapalat" w:hAnsi="GHEA Grapalat"/>
          <w:bCs/>
          <w:i/>
          <w:iCs/>
          <w:lang w:val="hy-AM" w:bidi="hy-AM"/>
        </w:rPr>
        <w:t>վարչության պետի</w:t>
      </w:r>
    </w:p>
    <w:p w:rsidR="00613DC0" w:rsidRDefault="00613DC0" w:rsidP="005966D1">
      <w:pPr>
        <w:pStyle w:val="ListParagraph"/>
        <w:jc w:val="both"/>
        <w:rPr>
          <w:rFonts w:ascii="GHEA Grapalat" w:hAnsi="GHEA Grapalat"/>
          <w:bCs/>
          <w:i/>
          <w:iCs/>
          <w:lang w:val="hy-AM" w:bidi="hy-AM"/>
        </w:rPr>
      </w:pPr>
      <w:r w:rsidRPr="00613DC0">
        <w:rPr>
          <w:rFonts w:ascii="GHEA Grapalat" w:hAnsi="GHEA Grapalat"/>
          <w:bCs/>
          <w:i/>
          <w:iCs/>
          <w:lang w:val="hy-AM" w:bidi="hy-AM"/>
        </w:rPr>
        <w:t>պարտականությունները կատարող Գայանե Մաթևոսյան</w:t>
      </w:r>
    </w:p>
    <w:p w:rsidR="007C41E0" w:rsidRPr="00613DC0" w:rsidRDefault="007C41E0" w:rsidP="00613DC0">
      <w:pPr>
        <w:pStyle w:val="ListParagraph"/>
        <w:jc w:val="center"/>
        <w:rPr>
          <w:rFonts w:ascii="GHEA Grapalat" w:eastAsia="Times New Roman" w:hAnsi="GHEA Grapalat" w:cs="Arial"/>
          <w:i/>
          <w:lang w:val="hy-AM"/>
        </w:rPr>
      </w:pPr>
    </w:p>
    <w:p w:rsidR="002560B1" w:rsidRPr="00533C93" w:rsidRDefault="002560B1" w:rsidP="002560B1">
      <w:pPr>
        <w:pStyle w:val="ListParagraph"/>
        <w:numPr>
          <w:ilvl w:val="0"/>
          <w:numId w:val="9"/>
        </w:numPr>
        <w:tabs>
          <w:tab w:val="left" w:pos="0"/>
          <w:tab w:val="left" w:pos="90"/>
        </w:tabs>
        <w:jc w:val="both"/>
        <w:rPr>
          <w:rFonts w:ascii="GHEA Grapalat" w:hAnsi="GHEA Grapalat" w:cs="TimesArmenian"/>
          <w:bCs/>
          <w:color w:val="000000" w:themeColor="text1"/>
          <w:sz w:val="24"/>
          <w:szCs w:val="24"/>
          <w:lang w:val="hy-AM" w:eastAsia="ru-RU"/>
        </w:rPr>
      </w:pPr>
      <w:r w:rsidRPr="00533C93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Հաշվեքննիչ պալատի</w:t>
      </w:r>
      <w:r w:rsidRPr="00533C93">
        <w:rPr>
          <w:rFonts w:ascii="GHEA Grapalat" w:hAnsi="GHEA Grapalat" w:cs="TimesArmenian"/>
          <w:bCs/>
          <w:color w:val="000000" w:themeColor="text1"/>
          <w:sz w:val="24"/>
          <w:szCs w:val="24"/>
          <w:lang w:val="hy-AM" w:eastAsia="ru-RU"/>
        </w:rPr>
        <w:t xml:space="preserve"> 2026 </w:t>
      </w:r>
      <w:r w:rsidRPr="00533C93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թվականի</w:t>
      </w:r>
      <w:r w:rsidRPr="00533C93">
        <w:rPr>
          <w:rFonts w:ascii="GHEA Grapalat" w:hAnsi="GHEA Grapalat" w:cs="TimesArmenian"/>
          <w:bCs/>
          <w:color w:val="000000" w:themeColor="text1"/>
          <w:sz w:val="24"/>
          <w:szCs w:val="24"/>
          <w:lang w:val="hy-AM" w:eastAsia="ru-RU"/>
        </w:rPr>
        <w:t xml:space="preserve"> ապրիլի 21-ի </w:t>
      </w:r>
      <w:r w:rsidRPr="00533C93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թիվ</w:t>
      </w:r>
      <w:r w:rsidRPr="00533C93">
        <w:rPr>
          <w:rFonts w:ascii="GHEA Grapalat" w:hAnsi="GHEA Grapalat" w:cs="TimesArmenian"/>
          <w:bCs/>
          <w:color w:val="000000" w:themeColor="text1"/>
          <w:sz w:val="24"/>
          <w:szCs w:val="24"/>
          <w:lang w:val="hy-AM" w:eastAsia="ru-RU"/>
        </w:rPr>
        <w:t xml:space="preserve">  19-Լ </w:t>
      </w:r>
      <w:r w:rsidRPr="00533C93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>որոշման մեջ լրացում և փոփոխություն կատարելու մասին:</w:t>
      </w:r>
    </w:p>
    <w:p w:rsidR="002560B1" w:rsidRPr="005966D1" w:rsidRDefault="002560B1" w:rsidP="005966D1">
      <w:pPr>
        <w:pStyle w:val="ListParagraph"/>
        <w:jc w:val="both"/>
        <w:rPr>
          <w:rFonts w:ascii="GHEA Grapalat" w:hAnsi="GHEA Grapalat" w:cs="Sylfaen"/>
          <w:bCs/>
          <w:i/>
          <w:iCs/>
          <w:lang w:val="hy-AM" w:bidi="hy-AM"/>
        </w:rPr>
      </w:pPr>
      <w:r w:rsidRPr="00613DC0">
        <w:rPr>
          <w:rFonts w:ascii="GHEA Grapalat" w:hAnsi="GHEA Grapalat" w:cs="Sylfaen"/>
          <w:bCs/>
          <w:i/>
          <w:iCs/>
          <w:lang w:val="hy-AM" w:bidi="hy-AM"/>
        </w:rPr>
        <w:t xml:space="preserve">Զեկուցող՝ </w:t>
      </w:r>
      <w:r w:rsidRPr="005966D1">
        <w:rPr>
          <w:rFonts w:ascii="GHEA Grapalat" w:hAnsi="GHEA Grapalat" w:cs="Sylfaen"/>
          <w:bCs/>
          <w:i/>
          <w:iCs/>
          <w:lang w:val="hy-AM" w:bidi="hy-AM"/>
        </w:rPr>
        <w:t>Հաշվեքննիչ պալատի մեթոդաբանության և տեղեկատվական</w:t>
      </w:r>
    </w:p>
    <w:p w:rsidR="002560B1" w:rsidRPr="005966D1" w:rsidRDefault="002560B1" w:rsidP="005966D1">
      <w:pPr>
        <w:pStyle w:val="ListParagraph"/>
        <w:jc w:val="both"/>
        <w:rPr>
          <w:rFonts w:ascii="GHEA Grapalat" w:hAnsi="GHEA Grapalat" w:cs="Sylfaen"/>
          <w:bCs/>
          <w:i/>
          <w:iCs/>
          <w:lang w:val="hy-AM" w:bidi="hy-AM"/>
        </w:rPr>
      </w:pPr>
      <w:r w:rsidRPr="005966D1">
        <w:rPr>
          <w:rFonts w:ascii="GHEA Grapalat" w:hAnsi="GHEA Grapalat" w:cs="Sylfaen"/>
          <w:bCs/>
          <w:i/>
          <w:iCs/>
          <w:lang w:val="hy-AM" w:bidi="hy-AM"/>
        </w:rPr>
        <w:t>տեխնոլոգիաների վարչության ավագ մեթոդաբան, վարչության պետի</w:t>
      </w:r>
    </w:p>
    <w:p w:rsidR="006A132B" w:rsidRPr="005966D1" w:rsidRDefault="002560B1" w:rsidP="005966D1">
      <w:pPr>
        <w:pStyle w:val="ListParagraph"/>
        <w:jc w:val="both"/>
        <w:rPr>
          <w:rFonts w:ascii="GHEA Grapalat" w:hAnsi="GHEA Grapalat" w:cs="Sylfaen"/>
          <w:bCs/>
          <w:i/>
          <w:iCs/>
          <w:lang w:val="hy-AM" w:bidi="hy-AM"/>
        </w:rPr>
      </w:pPr>
      <w:r w:rsidRPr="005966D1">
        <w:rPr>
          <w:rFonts w:ascii="GHEA Grapalat" w:hAnsi="GHEA Grapalat" w:cs="Sylfaen"/>
          <w:bCs/>
          <w:i/>
          <w:iCs/>
          <w:lang w:val="hy-AM" w:bidi="hy-AM"/>
        </w:rPr>
        <w:t>պարտականությունները կատարող Գայանե Մաթևոսյան</w:t>
      </w:r>
    </w:p>
    <w:p w:rsidR="00182E1B" w:rsidRPr="00182E1B" w:rsidRDefault="00182E1B" w:rsidP="00182E1B">
      <w:pPr>
        <w:pStyle w:val="ListParagraph"/>
        <w:jc w:val="center"/>
        <w:rPr>
          <w:rFonts w:ascii="GHEA Grapalat" w:hAnsi="GHEA Grapalat"/>
          <w:bCs/>
          <w:i/>
          <w:iCs/>
          <w:lang w:val="hy-AM" w:bidi="hy-AM"/>
        </w:rPr>
      </w:pPr>
    </w:p>
    <w:p w:rsidR="000C3C38" w:rsidRPr="000C3C38" w:rsidRDefault="000C3C38" w:rsidP="0005667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3C3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3C38">
        <w:rPr>
          <w:rFonts w:ascii="GHEA Grapalat" w:hAnsi="GHEA Grapalat"/>
          <w:sz w:val="24"/>
          <w:szCs w:val="24"/>
          <w:lang w:val="hy-AM"/>
        </w:rPr>
        <w:t>անրապետության 2025 թվականի պետական բյուջեի կատարման տարեկան հաշվետվության վերաբերյալ եզրակացությունը հաստատելու մասին</w:t>
      </w:r>
      <w:r w:rsidR="00EE76E0">
        <w:rPr>
          <w:sz w:val="24"/>
          <w:szCs w:val="24"/>
          <w:lang w:val="hy-AM"/>
        </w:rPr>
        <w:t>:</w:t>
      </w:r>
    </w:p>
    <w:p w:rsidR="00B466E6" w:rsidRPr="005966D1" w:rsidRDefault="00EE76E0" w:rsidP="005966D1">
      <w:pPr>
        <w:pStyle w:val="ListParagraph"/>
        <w:jc w:val="both"/>
        <w:rPr>
          <w:rFonts w:ascii="GHEA Grapalat" w:hAnsi="GHEA Grapalat" w:cs="Sylfaen"/>
          <w:bCs/>
          <w:i/>
          <w:iCs/>
          <w:lang w:val="hy-AM" w:bidi="hy-AM"/>
        </w:rPr>
      </w:pPr>
      <w:r w:rsidRPr="006A132B">
        <w:rPr>
          <w:rFonts w:ascii="GHEA Grapalat" w:hAnsi="GHEA Grapalat" w:cs="Sylfaen"/>
          <w:bCs/>
          <w:i/>
          <w:iCs/>
          <w:lang w:val="hy-AM" w:bidi="hy-AM"/>
        </w:rPr>
        <w:t xml:space="preserve">Զեկուցող՝ </w:t>
      </w:r>
      <w:r w:rsidR="00B466E6" w:rsidRPr="005966D1">
        <w:rPr>
          <w:rFonts w:ascii="GHEA Grapalat" w:hAnsi="GHEA Grapalat" w:cs="Sylfaen"/>
          <w:bCs/>
          <w:i/>
          <w:iCs/>
          <w:lang w:val="hy-AM" w:bidi="hy-AM"/>
        </w:rPr>
        <w:t>Հաշվեքննիչ պալատի ֆինանսական և համապատասխանության հաշվեքննության վարչության կառավարիչ, վարչության պետի պարտականությունները կատարող Ժորա Մարգարյան</w:t>
      </w:r>
    </w:p>
    <w:p w:rsidR="00E159EE" w:rsidRPr="003C1DD8" w:rsidRDefault="00E159EE" w:rsidP="00EE76E0">
      <w:pPr>
        <w:pStyle w:val="ListParagraph"/>
        <w:tabs>
          <w:tab w:val="left" w:pos="450"/>
          <w:tab w:val="left" w:pos="720"/>
        </w:tabs>
        <w:jc w:val="center"/>
        <w:rPr>
          <w:rFonts w:ascii="GHEA Grapalat" w:eastAsiaTheme="minorEastAsia" w:hAnsi="GHEA Grapalat" w:cs="Sylfaen"/>
          <w:lang w:val="hy-AM"/>
        </w:rPr>
      </w:pPr>
    </w:p>
    <w:p w:rsidR="00D12E74" w:rsidRPr="005966D1" w:rsidRDefault="00D12E74" w:rsidP="00D12E7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D12E74">
        <w:rPr>
          <w:rFonts w:ascii="GHEA Grapalat" w:hAnsi="GHEA Grapalat"/>
          <w:bCs/>
          <w:iCs/>
          <w:sz w:val="24"/>
          <w:szCs w:val="24"/>
          <w:lang w:val="hy-AM" w:bidi="hy-AM"/>
        </w:rPr>
        <w:t>Հաշվեքննիչ պալատի 2025 թվականի ֆինանսական հաշվետվությունները հաստատելու մասին</w:t>
      </w:r>
      <w:r w:rsidR="005966D1">
        <w:rPr>
          <w:rFonts w:ascii="GHEA Grapalat" w:hAnsi="GHEA Grapalat"/>
          <w:bCs/>
          <w:iCs/>
          <w:sz w:val="24"/>
          <w:szCs w:val="24"/>
          <w:lang w:val="hy-AM" w:bidi="hy-AM"/>
        </w:rPr>
        <w:t xml:space="preserve"> </w:t>
      </w:r>
      <w:r w:rsidR="005966D1" w:rsidRPr="005966D1">
        <w:rPr>
          <w:rFonts w:ascii="GHEA Grapalat" w:hAnsi="GHEA Grapalat"/>
          <w:bCs/>
          <w:i/>
          <w:iCs/>
          <w:sz w:val="24"/>
          <w:szCs w:val="24"/>
          <w:lang w:val="hy-AM" w:bidi="hy-AM"/>
        </w:rPr>
        <w:t>(</w:t>
      </w:r>
      <w:r w:rsidR="005966D1" w:rsidRPr="005966D1">
        <w:rPr>
          <w:rFonts w:ascii="GHEA Grapalat" w:hAnsi="GHEA Grapalat"/>
          <w:bCs/>
          <w:i/>
          <w:iCs/>
          <w:sz w:val="24"/>
          <w:szCs w:val="24"/>
          <w:lang w:val="hy-AM" w:bidi="hy-AM"/>
        </w:rPr>
        <w:t>Հաշվեքննիչ պալատի ֆինանսատնտեսական բաժնի գլխավոր մասնագետ, բաժնի պետի պարտականությունները կատարող Ծովինար Բեդիրյան</w:t>
      </w:r>
      <w:r w:rsidR="005966D1" w:rsidRPr="005966D1">
        <w:rPr>
          <w:rFonts w:ascii="GHEA Grapalat" w:hAnsi="GHEA Grapalat"/>
          <w:bCs/>
          <w:i/>
          <w:iCs/>
          <w:sz w:val="24"/>
          <w:szCs w:val="24"/>
          <w:lang w:val="hy-AM" w:bidi="hy-AM"/>
        </w:rPr>
        <w:t>)</w:t>
      </w:r>
      <w:r w:rsidRPr="005966D1">
        <w:rPr>
          <w:rFonts w:ascii="GHEA Grapalat" w:hAnsi="GHEA Grapalat"/>
          <w:bCs/>
          <w:i/>
          <w:iCs/>
          <w:sz w:val="24"/>
          <w:szCs w:val="24"/>
          <w:lang w:val="hy-AM" w:bidi="hy-AM"/>
        </w:rPr>
        <w:t>:</w:t>
      </w:r>
      <w:r w:rsidR="005966D1" w:rsidRPr="005966D1">
        <w:rPr>
          <w:rFonts w:ascii="GHEA Grapalat" w:hAnsi="GHEA Grapalat"/>
          <w:bCs/>
          <w:i/>
          <w:iCs/>
          <w:sz w:val="24"/>
          <w:szCs w:val="24"/>
          <w:lang w:val="hy-AM" w:bidi="hy-AM"/>
        </w:rPr>
        <w:t xml:space="preserve"> </w:t>
      </w:r>
      <w:r w:rsidR="005966D1" w:rsidRPr="005966D1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CB5506" w:rsidRPr="002C5ABB" w:rsidRDefault="00CB5506" w:rsidP="005966D1">
      <w:pPr>
        <w:rPr>
          <w:rFonts w:ascii="GHEA Grapalat" w:hAnsi="GHEA Grapalat"/>
          <w:bCs/>
          <w:i/>
          <w:iCs/>
          <w:sz w:val="22"/>
          <w:szCs w:val="22"/>
          <w:lang w:val="hy-AM"/>
        </w:rPr>
      </w:pPr>
    </w:p>
    <w:p w:rsidR="004E6BD7" w:rsidRPr="00D12E74" w:rsidRDefault="004E6BD7" w:rsidP="00D12E74">
      <w:pPr>
        <w:ind w:left="360"/>
        <w:jc w:val="both"/>
        <w:rPr>
          <w:rFonts w:ascii="GHEA Grapalat" w:hAnsi="GHEA Grapalat"/>
          <w:lang w:val="hy-AM"/>
        </w:rPr>
      </w:pPr>
    </w:p>
    <w:p w:rsidR="00F81E49" w:rsidRPr="00F81E49" w:rsidRDefault="00F94851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b/>
          <w:i/>
          <w:lang w:val="hy-AM" w:bidi="he-IL"/>
        </w:rPr>
        <w:tab/>
      </w:r>
      <w:r>
        <w:rPr>
          <w:rFonts w:ascii="GHEA Grapalat" w:hAnsi="GHEA Grapalat" w:cs="Sylfaen"/>
          <w:b/>
          <w:i/>
          <w:lang w:val="hy-AM" w:bidi="he-IL"/>
        </w:rPr>
        <w:tab/>
      </w:r>
      <w:r w:rsidR="00F81E49"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sectPr w:rsidR="00F81E49" w:rsidRPr="00F81E49" w:rsidSect="00182E1B">
      <w:pgSz w:w="11906" w:h="16838"/>
      <w:pgMar w:top="540" w:right="1106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8E" w:rsidRDefault="00282C8E" w:rsidP="00CC4EB1">
      <w:r>
        <w:separator/>
      </w:r>
    </w:p>
  </w:endnote>
  <w:endnote w:type="continuationSeparator" w:id="0">
    <w:p w:rsidR="00282C8E" w:rsidRDefault="00282C8E" w:rsidP="00CC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8E" w:rsidRDefault="00282C8E" w:rsidP="00CC4EB1">
      <w:r>
        <w:separator/>
      </w:r>
    </w:p>
  </w:footnote>
  <w:footnote w:type="continuationSeparator" w:id="0">
    <w:p w:rsidR="00282C8E" w:rsidRDefault="00282C8E" w:rsidP="00CC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BA9"/>
    <w:multiLevelType w:val="hybridMultilevel"/>
    <w:tmpl w:val="E8C4583A"/>
    <w:lvl w:ilvl="0" w:tplc="077EF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3964"/>
    <w:multiLevelType w:val="hybridMultilevel"/>
    <w:tmpl w:val="E7FC52C8"/>
    <w:lvl w:ilvl="0" w:tplc="E07E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B1E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2C8D"/>
    <w:multiLevelType w:val="hybridMultilevel"/>
    <w:tmpl w:val="EE1C6952"/>
    <w:lvl w:ilvl="0" w:tplc="FD821F0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30E4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2482"/>
    <w:multiLevelType w:val="hybridMultilevel"/>
    <w:tmpl w:val="6D8040B2"/>
    <w:lvl w:ilvl="0" w:tplc="0C0C7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1BB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028D5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65FD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B8"/>
    <w:rsid w:val="00056678"/>
    <w:rsid w:val="00085FD6"/>
    <w:rsid w:val="000A6394"/>
    <w:rsid w:val="000C2862"/>
    <w:rsid w:val="000C3C38"/>
    <w:rsid w:val="001240CF"/>
    <w:rsid w:val="00171B0A"/>
    <w:rsid w:val="00175D63"/>
    <w:rsid w:val="00181B62"/>
    <w:rsid w:val="00182E1B"/>
    <w:rsid w:val="001911FB"/>
    <w:rsid w:val="00222AF5"/>
    <w:rsid w:val="00223306"/>
    <w:rsid w:val="00240263"/>
    <w:rsid w:val="002560B1"/>
    <w:rsid w:val="00256FC8"/>
    <w:rsid w:val="00282C8E"/>
    <w:rsid w:val="002B3DCE"/>
    <w:rsid w:val="002C5ABB"/>
    <w:rsid w:val="002F16B6"/>
    <w:rsid w:val="0030113E"/>
    <w:rsid w:val="003153F1"/>
    <w:rsid w:val="00316724"/>
    <w:rsid w:val="0033732E"/>
    <w:rsid w:val="003776F5"/>
    <w:rsid w:val="003C1DD8"/>
    <w:rsid w:val="003F6B3A"/>
    <w:rsid w:val="004755D4"/>
    <w:rsid w:val="004A5FC4"/>
    <w:rsid w:val="004D45A8"/>
    <w:rsid w:val="004E4557"/>
    <w:rsid w:val="004E6BD7"/>
    <w:rsid w:val="00533C93"/>
    <w:rsid w:val="005966D1"/>
    <w:rsid w:val="005B5B36"/>
    <w:rsid w:val="00603E81"/>
    <w:rsid w:val="00613598"/>
    <w:rsid w:val="00613DC0"/>
    <w:rsid w:val="00643E46"/>
    <w:rsid w:val="006639AC"/>
    <w:rsid w:val="00685557"/>
    <w:rsid w:val="006A132B"/>
    <w:rsid w:val="006D2B6C"/>
    <w:rsid w:val="006F6214"/>
    <w:rsid w:val="007249E7"/>
    <w:rsid w:val="0076460D"/>
    <w:rsid w:val="007777B8"/>
    <w:rsid w:val="007B0876"/>
    <w:rsid w:val="007C41E0"/>
    <w:rsid w:val="007C6791"/>
    <w:rsid w:val="007E240A"/>
    <w:rsid w:val="00854AA6"/>
    <w:rsid w:val="00855494"/>
    <w:rsid w:val="0087751C"/>
    <w:rsid w:val="008B3E5D"/>
    <w:rsid w:val="00992FB0"/>
    <w:rsid w:val="009B6258"/>
    <w:rsid w:val="00A06C3C"/>
    <w:rsid w:val="00A10A8E"/>
    <w:rsid w:val="00A41D2F"/>
    <w:rsid w:val="00A82319"/>
    <w:rsid w:val="00A8235A"/>
    <w:rsid w:val="00A83416"/>
    <w:rsid w:val="00AD37D5"/>
    <w:rsid w:val="00AE2CFE"/>
    <w:rsid w:val="00AE3AEE"/>
    <w:rsid w:val="00B04E1D"/>
    <w:rsid w:val="00B1636C"/>
    <w:rsid w:val="00B3502B"/>
    <w:rsid w:val="00B41AB9"/>
    <w:rsid w:val="00B466E6"/>
    <w:rsid w:val="00B7058B"/>
    <w:rsid w:val="00B81C4A"/>
    <w:rsid w:val="00BC49CA"/>
    <w:rsid w:val="00BC7C4F"/>
    <w:rsid w:val="00BF59F8"/>
    <w:rsid w:val="00C70CE0"/>
    <w:rsid w:val="00C75329"/>
    <w:rsid w:val="00C95735"/>
    <w:rsid w:val="00CB3F28"/>
    <w:rsid w:val="00CB5506"/>
    <w:rsid w:val="00CC4EB1"/>
    <w:rsid w:val="00CF33C3"/>
    <w:rsid w:val="00D12E74"/>
    <w:rsid w:val="00D20954"/>
    <w:rsid w:val="00D4224A"/>
    <w:rsid w:val="00D44B6C"/>
    <w:rsid w:val="00E159EE"/>
    <w:rsid w:val="00E448D8"/>
    <w:rsid w:val="00E460F7"/>
    <w:rsid w:val="00E629E3"/>
    <w:rsid w:val="00E959AB"/>
    <w:rsid w:val="00EA104C"/>
    <w:rsid w:val="00EA1570"/>
    <w:rsid w:val="00EC4854"/>
    <w:rsid w:val="00ED7558"/>
    <w:rsid w:val="00EE76E0"/>
    <w:rsid w:val="00F1742E"/>
    <w:rsid w:val="00F729D1"/>
    <w:rsid w:val="00F742F7"/>
    <w:rsid w:val="00F81E49"/>
    <w:rsid w:val="00F91A73"/>
    <w:rsid w:val="00F94851"/>
    <w:rsid w:val="00FD687F"/>
    <w:rsid w:val="00FF4479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3C04"/>
  <w15:chartTrackingRefBased/>
  <w15:docId w15:val="{FD58A039-73F1-44D5-B8FE-9DB8626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B3502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B3502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2B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CC4EB1"/>
    <w:rPr>
      <w:rFonts w:ascii="GHEA Grapalat" w:hAnsi="GHEA Grapalat"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EB1"/>
    <w:rPr>
      <w:rFonts w:ascii="GHEA Grapalat" w:eastAsia="Times New Roman" w:hAnsi="GHEA Grapalat" w:cs="Times New Roman"/>
      <w:i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C4E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9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Նաիրա Պետրոսյան</dc:creator>
  <cp:keywords/>
  <dc:description/>
  <cp:lastModifiedBy>Anna Akbalyan</cp:lastModifiedBy>
  <cp:revision>2</cp:revision>
  <cp:lastPrinted>2026-05-21T09:33:00Z</cp:lastPrinted>
  <dcterms:created xsi:type="dcterms:W3CDTF">2026-05-21T13:28:00Z</dcterms:created>
  <dcterms:modified xsi:type="dcterms:W3CDTF">2026-05-21T13:28:00Z</dcterms:modified>
</cp:coreProperties>
</file>