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CF5B3" w14:textId="0DAD93A2" w:rsidR="00BC5B01" w:rsidRPr="00C13C68" w:rsidRDefault="00BC5B01" w:rsidP="00BC5B01">
      <w:pPr>
        <w:jc w:val="right"/>
        <w:rPr>
          <w:rFonts w:eastAsia="Times New Roman" w:cs="Times New Roman"/>
          <w:b/>
          <w:bCs/>
          <w:i/>
        </w:rPr>
      </w:pPr>
      <w:r w:rsidRPr="0050494D">
        <w:rPr>
          <w:noProof/>
          <w:color w:val="1F4E79" w:themeColor="accent1" w:themeShade="80"/>
        </w:rPr>
        <w:drawing>
          <wp:anchor distT="0" distB="0" distL="114300" distR="114300" simplePos="0" relativeHeight="251659264" behindDoc="0" locked="0" layoutInCell="1" allowOverlap="1" wp14:anchorId="03A5BC31" wp14:editId="03021590">
            <wp:simplePos x="0" y="0"/>
            <wp:positionH relativeFrom="margin">
              <wp:posOffset>2822575</wp:posOffset>
            </wp:positionH>
            <wp:positionV relativeFrom="paragraph">
              <wp:posOffset>0</wp:posOffset>
            </wp:positionV>
            <wp:extent cx="1102360" cy="1076325"/>
            <wp:effectExtent l="0" t="0" r="2540" b="9525"/>
            <wp:wrapSquare wrapText="bothSides"/>
            <wp:docPr id="1" name="Picture 1" descr="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a"/>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A7E37" w14:textId="77777777" w:rsidR="00BC5B01" w:rsidRDefault="00BC5B01" w:rsidP="00BC5B01">
      <w:pPr>
        <w:spacing w:after="0"/>
        <w:jc w:val="center"/>
        <w:rPr>
          <w:rFonts w:eastAsia="Times New Roman" w:cs="Times New Roman"/>
          <w:b/>
          <w:bCs/>
          <w:sz w:val="28"/>
          <w:szCs w:val="28"/>
        </w:rPr>
      </w:pPr>
    </w:p>
    <w:p w14:paraId="7548C192" w14:textId="77777777" w:rsidR="00BC5B01" w:rsidRDefault="00BC5B01" w:rsidP="00BC5B01">
      <w:pPr>
        <w:spacing w:after="0"/>
        <w:jc w:val="center"/>
        <w:rPr>
          <w:rFonts w:eastAsia="Times New Roman" w:cs="Times New Roman"/>
          <w:b/>
          <w:bCs/>
          <w:sz w:val="28"/>
          <w:szCs w:val="28"/>
        </w:rPr>
      </w:pPr>
    </w:p>
    <w:p w14:paraId="0336E3B9" w14:textId="77777777" w:rsidR="00BC5B01" w:rsidRPr="00531B65" w:rsidRDefault="00BC5B01" w:rsidP="00BC5B01">
      <w:pPr>
        <w:spacing w:after="0"/>
        <w:jc w:val="center"/>
        <w:rPr>
          <w:rFonts w:eastAsia="Times New Roman" w:cs="Times New Roman"/>
          <w:b/>
          <w:bCs/>
          <w:sz w:val="18"/>
          <w:szCs w:val="28"/>
        </w:rPr>
      </w:pPr>
    </w:p>
    <w:p w14:paraId="6BCAD00D" w14:textId="77777777" w:rsidR="00BC5B01" w:rsidRPr="00250F73" w:rsidRDefault="00BC5B01" w:rsidP="00BC5B01">
      <w:pPr>
        <w:spacing w:after="0"/>
        <w:jc w:val="center"/>
        <w:rPr>
          <w:rFonts w:eastAsia="Times New Roman" w:cs="Times New Roman"/>
          <w:b/>
          <w:bCs/>
          <w:sz w:val="18"/>
          <w:szCs w:val="28"/>
        </w:rPr>
      </w:pPr>
    </w:p>
    <w:p w14:paraId="5E9C6421" w14:textId="77777777" w:rsidR="00BC5B01" w:rsidRPr="00AC09E4" w:rsidRDefault="00BC5B01" w:rsidP="005845B2">
      <w:pPr>
        <w:spacing w:after="0"/>
        <w:ind w:firstLine="0"/>
        <w:jc w:val="center"/>
        <w:rPr>
          <w:rFonts w:eastAsia="Times New Roman"/>
          <w:bCs/>
          <w:color w:val="1F4E79" w:themeColor="accent1" w:themeShade="80"/>
          <w:sz w:val="28"/>
          <w:szCs w:val="28"/>
        </w:rPr>
      </w:pPr>
      <w:r w:rsidRPr="00AC09E4">
        <w:rPr>
          <w:rFonts w:eastAsia="Times New Roman"/>
          <w:bCs/>
          <w:color w:val="1F4E79" w:themeColor="accent1" w:themeShade="80"/>
          <w:sz w:val="28"/>
          <w:szCs w:val="28"/>
        </w:rPr>
        <w:t>ՀԱՅԱՍՏԱՆԻ ՀԱՆՐԱՊԵՏՈՒԹՅԱՆ ՀԱՇՎԵՔՆՆԻՉ ՊԱԼԱՏ</w:t>
      </w:r>
    </w:p>
    <w:p w14:paraId="30BA3C00" w14:textId="77777777" w:rsidR="00BC5B01" w:rsidRPr="00405DB3" w:rsidRDefault="00BC5B01" w:rsidP="005845B2">
      <w:pPr>
        <w:spacing w:after="0"/>
        <w:ind w:firstLine="0"/>
        <w:jc w:val="center"/>
        <w:rPr>
          <w:rFonts w:eastAsia="Times New Roman"/>
          <w:bCs/>
          <w:color w:val="1F4E79" w:themeColor="accent1" w:themeShade="80"/>
          <w:sz w:val="14"/>
          <w:szCs w:val="28"/>
        </w:rPr>
      </w:pPr>
    </w:p>
    <w:p w14:paraId="739CA90F" w14:textId="77777777" w:rsidR="00BC5B01" w:rsidRPr="002B69B6" w:rsidRDefault="00BC5B01" w:rsidP="005845B2">
      <w:pPr>
        <w:spacing w:after="0"/>
        <w:ind w:firstLine="0"/>
        <w:jc w:val="center"/>
        <w:rPr>
          <w:rFonts w:eastAsia="Times New Roman"/>
          <w:b/>
          <w:bCs/>
          <w:color w:val="1F4E79" w:themeColor="accent1" w:themeShade="80"/>
          <w:sz w:val="28"/>
          <w:szCs w:val="28"/>
        </w:rPr>
      </w:pPr>
      <w:r w:rsidRPr="002B69B6">
        <w:rPr>
          <w:rFonts w:eastAsia="Times New Roman"/>
          <w:b/>
          <w:bCs/>
          <w:color w:val="1F4E79" w:themeColor="accent1" w:themeShade="80"/>
          <w:sz w:val="28"/>
          <w:szCs w:val="28"/>
        </w:rPr>
        <w:t>Ո Ր Ո Շ ՈՒ Մ</w:t>
      </w:r>
    </w:p>
    <w:p w14:paraId="5C0E9537" w14:textId="77777777" w:rsidR="00BC5B01" w:rsidRPr="00531B65" w:rsidRDefault="00BC5B01" w:rsidP="005845B2">
      <w:pPr>
        <w:spacing w:after="0"/>
        <w:ind w:firstLine="0"/>
        <w:jc w:val="center"/>
        <w:rPr>
          <w:rFonts w:eastAsia="Times New Roman"/>
          <w:bCs/>
          <w:color w:val="1F4E79" w:themeColor="accent1" w:themeShade="80"/>
          <w:sz w:val="16"/>
          <w:szCs w:val="28"/>
        </w:rPr>
      </w:pPr>
    </w:p>
    <w:p w14:paraId="367F470F" w14:textId="77777777" w:rsidR="00BC5B01" w:rsidRPr="00AC09E4" w:rsidRDefault="00BC5B01" w:rsidP="005845B2">
      <w:pPr>
        <w:spacing w:after="0" w:line="360" w:lineRule="auto"/>
        <w:ind w:firstLine="0"/>
        <w:jc w:val="center"/>
        <w:rPr>
          <w:rFonts w:eastAsia="Times New Roman"/>
          <w:bCs/>
          <w:color w:val="1F4E79" w:themeColor="accent1" w:themeShade="80"/>
          <w:szCs w:val="28"/>
        </w:rPr>
      </w:pPr>
      <w:r w:rsidRPr="00AC09E4">
        <w:rPr>
          <w:rFonts w:eastAsia="Times New Roman"/>
          <w:bCs/>
          <w:color w:val="1F4E79" w:themeColor="accent1" w:themeShade="80"/>
          <w:szCs w:val="28"/>
        </w:rPr>
        <w:t>202</w:t>
      </w:r>
      <w:r w:rsidRPr="003B7EB2">
        <w:rPr>
          <w:rFonts w:eastAsia="Times New Roman"/>
          <w:bCs/>
          <w:color w:val="1F4E79" w:themeColor="accent1" w:themeShade="80"/>
          <w:szCs w:val="28"/>
        </w:rPr>
        <w:t>5</w:t>
      </w:r>
      <w:r w:rsidRPr="00AC09E4">
        <w:rPr>
          <w:rFonts w:eastAsia="Times New Roman"/>
          <w:bCs/>
          <w:color w:val="1F4E79" w:themeColor="accent1" w:themeShade="80"/>
          <w:szCs w:val="28"/>
        </w:rPr>
        <w:t xml:space="preserve"> թվականի նոյեմբերի </w:t>
      </w:r>
      <w:r>
        <w:rPr>
          <w:rFonts w:eastAsia="Times New Roman"/>
          <w:bCs/>
          <w:color w:val="1F4E79" w:themeColor="accent1" w:themeShade="80"/>
          <w:szCs w:val="28"/>
        </w:rPr>
        <w:t>27</w:t>
      </w:r>
      <w:r w:rsidRPr="00AC09E4">
        <w:rPr>
          <w:rFonts w:eastAsia="Times New Roman"/>
          <w:bCs/>
          <w:color w:val="1F4E79" w:themeColor="accent1" w:themeShade="80"/>
          <w:szCs w:val="28"/>
        </w:rPr>
        <w:t xml:space="preserve">-ի թիվ </w:t>
      </w:r>
      <w:r w:rsidRPr="00443956">
        <w:rPr>
          <w:rFonts w:eastAsia="Times New Roman"/>
          <w:bCs/>
          <w:color w:val="1F4E79" w:themeColor="accent1" w:themeShade="80"/>
          <w:szCs w:val="28"/>
        </w:rPr>
        <w:t>81</w:t>
      </w:r>
      <w:r w:rsidRPr="00AC09E4">
        <w:rPr>
          <w:rFonts w:eastAsia="Times New Roman"/>
          <w:bCs/>
          <w:color w:val="1F4E79" w:themeColor="accent1" w:themeShade="80"/>
          <w:szCs w:val="28"/>
        </w:rPr>
        <w:t>-Լ</w:t>
      </w:r>
    </w:p>
    <w:p w14:paraId="4BD5C963" w14:textId="77777777" w:rsidR="00BC5B01" w:rsidRPr="00405DB3" w:rsidRDefault="00BC5B01" w:rsidP="005845B2">
      <w:pPr>
        <w:spacing w:after="0" w:line="360" w:lineRule="auto"/>
        <w:ind w:firstLine="0"/>
        <w:rPr>
          <w:rFonts w:eastAsia="Times New Roman"/>
          <w:bCs/>
          <w:color w:val="1F4E79" w:themeColor="accent1" w:themeShade="80"/>
          <w:sz w:val="14"/>
          <w:szCs w:val="28"/>
        </w:rPr>
      </w:pPr>
    </w:p>
    <w:p w14:paraId="639BCAFB" w14:textId="77777777" w:rsidR="00BC5B01" w:rsidRPr="00D9456F" w:rsidRDefault="00BC5B01" w:rsidP="005845B2">
      <w:pPr>
        <w:spacing w:after="0" w:line="240" w:lineRule="auto"/>
        <w:ind w:firstLine="0"/>
        <w:jc w:val="center"/>
        <w:rPr>
          <w:rFonts w:cs="Sylfaen"/>
          <w:color w:val="1F4E79" w:themeColor="accent1" w:themeShade="80"/>
        </w:rPr>
      </w:pPr>
      <w:r w:rsidRPr="00D9456F">
        <w:rPr>
          <w:rFonts w:cs="Sylfaen"/>
          <w:color w:val="1F4E79" w:themeColor="accent1" w:themeShade="80"/>
        </w:rPr>
        <w:t>ՀԱՇՎԵՔՆՆԻՉ ՊԱԼԱՏԻ 202</w:t>
      </w:r>
      <w:r w:rsidRPr="003B7EB2">
        <w:rPr>
          <w:rFonts w:cs="Sylfaen"/>
          <w:color w:val="1F4E79" w:themeColor="accent1" w:themeShade="80"/>
        </w:rPr>
        <w:t>6</w:t>
      </w:r>
      <w:r w:rsidRPr="00D9456F">
        <w:rPr>
          <w:rFonts w:cs="Sylfaen"/>
          <w:color w:val="1F4E79" w:themeColor="accent1" w:themeShade="80"/>
        </w:rPr>
        <w:t xml:space="preserve"> ԹՎԱԿԱՆԻ ԳՈՐԾՈՒՆԵՈՒԹՅԱՆ ԾՐԱԳԻՐԸ ՀԱՍՏԱՏԵԼՈՒ ՄԱՍԻՆ</w:t>
      </w:r>
    </w:p>
    <w:p w14:paraId="6AC6EE3A" w14:textId="77777777" w:rsidR="00BC5B01" w:rsidRPr="00C13C68" w:rsidRDefault="00BC5B01" w:rsidP="00BC5B01">
      <w:pPr>
        <w:spacing w:after="0" w:line="360" w:lineRule="auto"/>
        <w:rPr>
          <w:rFonts w:cs="Sylfaen"/>
        </w:rPr>
      </w:pPr>
    </w:p>
    <w:p w14:paraId="6CAE0840" w14:textId="77777777" w:rsidR="00BC5B01" w:rsidRPr="00C13C68" w:rsidRDefault="00BC5B01" w:rsidP="00BC5B01">
      <w:pPr>
        <w:spacing w:after="0"/>
        <w:ind w:firstLine="720"/>
        <w:rPr>
          <w:rFonts w:cs="Sylfaen"/>
        </w:rPr>
      </w:pPr>
      <w:bookmarkStart w:id="0" w:name="_Hlk522115957"/>
      <w:r w:rsidRPr="00C13C68">
        <w:rPr>
          <w:rFonts w:cs="Sylfaen"/>
        </w:rPr>
        <w:t>Ղեկավարվելով</w:t>
      </w:r>
      <w:r w:rsidRPr="00C13C68">
        <w:t xml:space="preserve"> </w:t>
      </w:r>
      <w:r w:rsidRPr="00C13C68">
        <w:rPr>
          <w:rFonts w:cs="Sylfaen"/>
        </w:rPr>
        <w:t>Հաշվեքննիչ</w:t>
      </w:r>
      <w:r w:rsidRPr="00C13C68">
        <w:t xml:space="preserve"> </w:t>
      </w:r>
      <w:r w:rsidRPr="00C13C68">
        <w:rPr>
          <w:rFonts w:cs="Sylfaen"/>
        </w:rPr>
        <w:t>պալատի</w:t>
      </w:r>
      <w:r w:rsidRPr="00C13C68">
        <w:t xml:space="preserve"> </w:t>
      </w:r>
      <w:r w:rsidRPr="00C13C68">
        <w:rPr>
          <w:rFonts w:cs="Sylfaen"/>
        </w:rPr>
        <w:t>մասին</w:t>
      </w:r>
      <w:r w:rsidRPr="00C13C68">
        <w:t xml:space="preserve"> </w:t>
      </w:r>
      <w:r w:rsidRPr="00C13C68">
        <w:rPr>
          <w:rFonts w:cs="Sylfaen"/>
        </w:rPr>
        <w:t>օրենքի</w:t>
      </w:r>
      <w:r w:rsidRPr="00C13C68">
        <w:t xml:space="preserve"> 1</w:t>
      </w:r>
      <w:r w:rsidRPr="003B7EB2">
        <w:t>0</w:t>
      </w:r>
      <w:r w:rsidRPr="00C13C68">
        <w:t>-</w:t>
      </w:r>
      <w:r w:rsidRPr="00C13C68">
        <w:rPr>
          <w:rFonts w:cs="Sylfaen"/>
        </w:rPr>
        <w:t>րդ</w:t>
      </w:r>
      <w:r w:rsidRPr="00C13C68">
        <w:t xml:space="preserve"> </w:t>
      </w:r>
      <w:r w:rsidRPr="00C13C68">
        <w:rPr>
          <w:rFonts w:cs="Sylfaen"/>
        </w:rPr>
        <w:t>հոդվածի</w:t>
      </w:r>
      <w:r w:rsidRPr="00C13C68">
        <w:t xml:space="preserve"> </w:t>
      </w:r>
      <w:r w:rsidRPr="003B7EB2">
        <w:t>1-ին</w:t>
      </w:r>
      <w:r w:rsidRPr="00C13C68">
        <w:t xml:space="preserve"> </w:t>
      </w:r>
      <w:r w:rsidRPr="00C13C68">
        <w:rPr>
          <w:rFonts w:cs="Sylfaen"/>
        </w:rPr>
        <w:t>մասի</w:t>
      </w:r>
      <w:r w:rsidRPr="00C13C68">
        <w:t xml:space="preserve"> </w:t>
      </w:r>
      <w:r w:rsidRPr="003B7EB2">
        <w:t>2-րդ</w:t>
      </w:r>
      <w:r w:rsidRPr="00C13C68">
        <w:t xml:space="preserve"> կետ, 2</w:t>
      </w:r>
      <w:r w:rsidRPr="003B7EB2">
        <w:t>1</w:t>
      </w:r>
      <w:r w:rsidRPr="00C13C68">
        <w:t>-րդ հոդվածի 1-ին մասով</w:t>
      </w:r>
      <w:r w:rsidRPr="00C13C68">
        <w:rPr>
          <w:rFonts w:eastAsia="Times New Roman" w:cs="Times New Roman"/>
        </w:rPr>
        <w:t>՝</w:t>
      </w:r>
      <w:r w:rsidRPr="00C13C68">
        <w:rPr>
          <w:rFonts w:cs="Sylfaen"/>
        </w:rPr>
        <w:t xml:space="preserve"> Հաշվեքննիչ</w:t>
      </w:r>
      <w:r w:rsidRPr="00C13C68">
        <w:t xml:space="preserve"> </w:t>
      </w:r>
      <w:r w:rsidRPr="00C13C68">
        <w:rPr>
          <w:rFonts w:cs="Sylfaen"/>
        </w:rPr>
        <w:t>պալատը</w:t>
      </w:r>
    </w:p>
    <w:bookmarkEnd w:id="0"/>
    <w:p w14:paraId="6B7F6FB7" w14:textId="77777777" w:rsidR="00BC5B01" w:rsidRPr="00EF1FCB" w:rsidRDefault="00BC5B01" w:rsidP="00BC5B01">
      <w:pPr>
        <w:spacing w:after="0" w:line="360" w:lineRule="auto"/>
        <w:jc w:val="center"/>
        <w:rPr>
          <w:b/>
          <w:bCs/>
          <w:sz w:val="18"/>
        </w:rPr>
      </w:pPr>
      <w:r w:rsidRPr="00EF1FCB">
        <w:rPr>
          <w:b/>
          <w:bCs/>
          <w:sz w:val="18"/>
        </w:rPr>
        <w:t xml:space="preserve"> </w:t>
      </w:r>
    </w:p>
    <w:p w14:paraId="12EDB20D" w14:textId="77777777" w:rsidR="00BC5B01" w:rsidRPr="00C13C68" w:rsidRDefault="00BC5B01" w:rsidP="00BC5B01">
      <w:pPr>
        <w:spacing w:after="0" w:line="360" w:lineRule="auto"/>
        <w:jc w:val="center"/>
        <w:rPr>
          <w:b/>
          <w:bCs/>
        </w:rPr>
      </w:pPr>
      <w:r w:rsidRPr="00C13C68">
        <w:rPr>
          <w:b/>
          <w:bCs/>
        </w:rPr>
        <w:t>Ո Ր Ո Շ ՈՒ Մ  Է`</w:t>
      </w:r>
    </w:p>
    <w:p w14:paraId="43D445DC" w14:textId="77777777" w:rsidR="00BC5B01" w:rsidRPr="0062070D" w:rsidRDefault="00BC5B01" w:rsidP="00BC5B01">
      <w:pPr>
        <w:spacing w:after="0" w:line="360" w:lineRule="auto"/>
        <w:jc w:val="center"/>
        <w:rPr>
          <w:b/>
          <w:bCs/>
          <w:sz w:val="12"/>
        </w:rPr>
      </w:pPr>
    </w:p>
    <w:p w14:paraId="4188D80C" w14:textId="77777777" w:rsidR="00BC5B01" w:rsidRPr="00814C48" w:rsidRDefault="00BC5B01" w:rsidP="00BC5B01">
      <w:pPr>
        <w:tabs>
          <w:tab w:val="left" w:pos="851"/>
        </w:tabs>
        <w:spacing w:after="0"/>
        <w:rPr>
          <w:rFonts w:cs="Arial"/>
        </w:rPr>
      </w:pPr>
      <w:r>
        <w:rPr>
          <w:rFonts w:cs="Arial"/>
        </w:rPr>
        <w:tab/>
      </w:r>
      <w:r w:rsidRPr="00814C48">
        <w:rPr>
          <w:rFonts w:cs="Arial"/>
        </w:rPr>
        <w:t>Հաստատել Հաշվեքննիչ պալատի 2026 թվականի գործունեության ծրագիրը՝ համաձայն հավելվածի</w:t>
      </w:r>
      <w:r w:rsidRPr="00443956">
        <w:rPr>
          <w:rFonts w:cs="Arial"/>
        </w:rPr>
        <w:t>:</w:t>
      </w:r>
    </w:p>
    <w:p w14:paraId="421A346A" w14:textId="457902F2" w:rsidR="00BC5B01" w:rsidRDefault="00BC5B01" w:rsidP="00BC5B01">
      <w:pPr>
        <w:tabs>
          <w:tab w:val="left" w:pos="284"/>
          <w:tab w:val="left" w:pos="709"/>
        </w:tabs>
        <w:spacing w:after="0"/>
        <w:ind w:left="1287" w:hanging="360"/>
        <w:rPr>
          <w:rFonts w:eastAsia="Times New Roman" w:cs="Sylfaen"/>
          <w:lang w:bidi="he-IL"/>
        </w:rPr>
      </w:pPr>
    </w:p>
    <w:p w14:paraId="4E72DDF9" w14:textId="77777777" w:rsidR="005845B2" w:rsidRDefault="005845B2" w:rsidP="00BC5B01">
      <w:pPr>
        <w:tabs>
          <w:tab w:val="left" w:pos="284"/>
          <w:tab w:val="left" w:pos="709"/>
        </w:tabs>
        <w:spacing w:after="0"/>
        <w:ind w:left="1287" w:hanging="360"/>
        <w:rPr>
          <w:rFonts w:eastAsia="Times New Roman" w:cs="Sylfaen"/>
          <w:lang w:bidi="he-IL"/>
        </w:rPr>
      </w:pPr>
    </w:p>
    <w:p w14:paraId="03BB63A0" w14:textId="77777777" w:rsidR="00BC5B01" w:rsidRPr="00BC5B01" w:rsidRDefault="00BC5B01" w:rsidP="00BC5B01">
      <w:pPr>
        <w:tabs>
          <w:tab w:val="left" w:pos="284"/>
          <w:tab w:val="left" w:pos="709"/>
        </w:tabs>
        <w:spacing w:after="0"/>
        <w:ind w:left="1287" w:hanging="360"/>
        <w:rPr>
          <w:rFonts w:eastAsia="Times New Roman" w:cs="Sylfaen"/>
          <w:lang w:bidi="he-IL"/>
        </w:rPr>
      </w:pPr>
    </w:p>
    <w:p w14:paraId="02599722" w14:textId="77777777" w:rsidR="00BC5B01" w:rsidRPr="00250F73" w:rsidRDefault="00BC5B01" w:rsidP="00BC5B01">
      <w:pPr>
        <w:tabs>
          <w:tab w:val="left" w:pos="993"/>
        </w:tabs>
        <w:spacing w:after="0" w:line="259" w:lineRule="auto"/>
        <w:rPr>
          <w:rFonts w:eastAsia="Times New Roman" w:cs="Sylfaen"/>
          <w:sz w:val="16"/>
          <w:lang w:bidi="he-I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2683"/>
        <w:gridCol w:w="4077"/>
      </w:tblGrid>
      <w:tr w:rsidR="00BC5B01" w:rsidRPr="00C13C68" w14:paraId="44A4DC57" w14:textId="77777777" w:rsidTr="008D1F7C">
        <w:trPr>
          <w:trHeight w:val="1051"/>
        </w:trPr>
        <w:tc>
          <w:tcPr>
            <w:tcW w:w="3379" w:type="dxa"/>
          </w:tcPr>
          <w:p w14:paraId="4207B7E9" w14:textId="77777777" w:rsidR="00BC5B01" w:rsidRPr="00C13C68" w:rsidRDefault="00BC5B01" w:rsidP="008D1F7C">
            <w:pPr>
              <w:tabs>
                <w:tab w:val="left" w:pos="1095"/>
                <w:tab w:val="center" w:pos="5245"/>
              </w:tabs>
              <w:jc w:val="center"/>
              <w:rPr>
                <w:rFonts w:ascii="GHEA Grapalat" w:eastAsia="Times New Roman" w:hAnsi="GHEA Grapalat"/>
                <w:b/>
                <w:sz w:val="24"/>
                <w:szCs w:val="24"/>
                <w:lang w:eastAsia="ru-RU"/>
              </w:rPr>
            </w:pPr>
            <w:r w:rsidRPr="00C13C68">
              <w:rPr>
                <w:rFonts w:ascii="GHEA Grapalat" w:hAnsi="GHEA Grapalat"/>
                <w:b/>
                <w:sz w:val="24"/>
                <w:szCs w:val="24"/>
              </w:rPr>
              <w:t xml:space="preserve">ՀԱՇՎԵՔՆՆԻՉ ՊԱԼԱՏԻ </w:t>
            </w:r>
            <w:hyperlink r:id="rId9" w:tooltip="Ctrl+Click to validate and learn more about this digital signature" w:history="1"/>
            <w:hyperlink r:id="rId10" w:tooltip="Ctrl+Click to validate and learn more about this digital signature" w:history="1"/>
            <w:hyperlink r:id="rId11" w:tooltip="Ctrl+Click to validate and learn more about this digital signature" w:history="1"/>
            <w:hyperlink r:id="rId12" w:tooltip="Ctrl+Click to validate and learn more about this digital signature" w:history="1"/>
            <w:r w:rsidRPr="00C13C68">
              <w:rPr>
                <w:rFonts w:ascii="GHEA Grapalat" w:hAnsi="GHEA Grapalat"/>
                <w:b/>
                <w:sz w:val="24"/>
                <w:szCs w:val="24"/>
              </w:rPr>
              <w:t>ՆԱԽԱԳԱՀ</w:t>
            </w:r>
          </w:p>
        </w:tc>
        <w:tc>
          <w:tcPr>
            <w:tcW w:w="2683" w:type="dxa"/>
          </w:tcPr>
          <w:p w14:paraId="3D274734" w14:textId="77777777" w:rsidR="00BC5B01" w:rsidRPr="00C13C68" w:rsidRDefault="00000000" w:rsidP="008D1F7C">
            <w:pPr>
              <w:tabs>
                <w:tab w:val="left" w:pos="720"/>
              </w:tabs>
              <w:spacing w:line="360" w:lineRule="auto"/>
              <w:ind w:firstLine="305"/>
              <w:contextualSpacing/>
              <w:rPr>
                <w:rFonts w:ascii="GHEA Grapalat" w:eastAsia="Times New Roman" w:hAnsi="GHEA Grapalat"/>
                <w:b/>
                <w:sz w:val="24"/>
                <w:szCs w:val="24"/>
                <w:lang w:eastAsia="ru-RU"/>
              </w:rPr>
            </w:pPr>
            <w:hyperlink r:id="rId13" w:tooltip="Ctrl+Click to validate and learn more about this digital signature" w:history="1">
              <w:r>
                <w:rPr>
                  <w:rFonts w:ascii="GHEA Grapalat" w:eastAsia="Times New Roman" w:hAnsi="GHEA Grapalat"/>
                  <w:b/>
                  <w:sz w:val="24"/>
                  <w:szCs w:val="24"/>
                  <w:lang w:eastAsia="ru-RU"/>
                </w:rPr>
                <w:pict w14:anchorId="32ED4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0.25pt">
                    <v:imagedata r:id="rId14" o:title=""/>
                  </v:shape>
                </w:pict>
              </w:r>
            </w:hyperlink>
          </w:p>
        </w:tc>
        <w:tc>
          <w:tcPr>
            <w:tcW w:w="4077" w:type="dxa"/>
          </w:tcPr>
          <w:p w14:paraId="26E37367" w14:textId="77777777" w:rsidR="00BC5B01" w:rsidRPr="00C13C68" w:rsidRDefault="00BC5B01" w:rsidP="008D1F7C">
            <w:pPr>
              <w:tabs>
                <w:tab w:val="left" w:pos="720"/>
              </w:tabs>
              <w:spacing w:line="360" w:lineRule="auto"/>
              <w:contextualSpacing/>
              <w:rPr>
                <w:rFonts w:ascii="GHEA Grapalat" w:hAnsi="GHEA Grapalat"/>
                <w:b/>
                <w:sz w:val="24"/>
                <w:szCs w:val="24"/>
              </w:rPr>
            </w:pPr>
          </w:p>
          <w:p w14:paraId="7ECF0444" w14:textId="77777777" w:rsidR="00BC5B01" w:rsidRPr="00C13C68" w:rsidRDefault="00BC5B01" w:rsidP="008D1F7C">
            <w:pPr>
              <w:tabs>
                <w:tab w:val="left" w:pos="720"/>
              </w:tabs>
              <w:spacing w:line="360" w:lineRule="auto"/>
              <w:contextualSpacing/>
              <w:rPr>
                <w:rFonts w:ascii="GHEA Grapalat" w:hAnsi="GHEA Grapalat"/>
                <w:b/>
                <w:sz w:val="24"/>
                <w:szCs w:val="24"/>
              </w:rPr>
            </w:pPr>
          </w:p>
          <w:p w14:paraId="66E39A57" w14:textId="77777777" w:rsidR="00BC5B01" w:rsidRPr="00C13C68" w:rsidRDefault="00BC5B01" w:rsidP="008D1F7C">
            <w:pPr>
              <w:tabs>
                <w:tab w:val="left" w:pos="720"/>
              </w:tabs>
              <w:spacing w:line="360" w:lineRule="auto"/>
              <w:contextualSpacing/>
              <w:rPr>
                <w:rFonts w:ascii="GHEA Grapalat" w:eastAsia="Times New Roman" w:hAnsi="GHEA Grapalat"/>
                <w:b/>
                <w:sz w:val="24"/>
                <w:szCs w:val="24"/>
                <w:lang w:eastAsia="ru-RU"/>
              </w:rPr>
            </w:pPr>
            <w:r w:rsidRPr="00C13C68">
              <w:rPr>
                <w:rFonts w:ascii="GHEA Grapalat" w:hAnsi="GHEA Grapalat" w:cs="Sylfaen"/>
                <w:b/>
                <w:sz w:val="24"/>
                <w:szCs w:val="24"/>
              </w:rPr>
              <w:t xml:space="preserve">  ԱՏՈՄ ՋԱՆՋՈՒՂԱԶՅԱՆ</w:t>
            </w:r>
          </w:p>
        </w:tc>
      </w:tr>
    </w:tbl>
    <w:p w14:paraId="42287777" w14:textId="77777777" w:rsidR="00BC5B01" w:rsidRDefault="00BC5B01">
      <w:pPr>
        <w:spacing w:after="160" w:line="259" w:lineRule="auto"/>
        <w:ind w:firstLine="0"/>
        <w:jc w:val="left"/>
        <w:rPr>
          <w:rStyle w:val="BookTitle"/>
        </w:rPr>
      </w:pPr>
    </w:p>
    <w:p w14:paraId="4C829A09" w14:textId="77777777" w:rsidR="00BC5B01" w:rsidRDefault="00BC5B01">
      <w:pPr>
        <w:spacing w:after="160" w:line="259" w:lineRule="auto"/>
        <w:ind w:firstLine="0"/>
        <w:jc w:val="left"/>
        <w:rPr>
          <w:rStyle w:val="BookTitle"/>
        </w:rPr>
      </w:pPr>
      <w:r>
        <w:rPr>
          <w:rStyle w:val="BookTitle"/>
        </w:rPr>
        <w:br w:type="page"/>
      </w:r>
    </w:p>
    <w:p w14:paraId="7637AAF8" w14:textId="669A6787" w:rsidR="00F02D7F" w:rsidRPr="00752793" w:rsidRDefault="00F02D7F" w:rsidP="00866885">
      <w:pPr>
        <w:keepNext/>
        <w:keepLines/>
        <w:spacing w:line="240" w:lineRule="auto"/>
        <w:ind w:left="6095" w:firstLine="0"/>
        <w:contextualSpacing/>
        <w:jc w:val="left"/>
        <w:rPr>
          <w:rStyle w:val="BookTitle"/>
        </w:rPr>
      </w:pPr>
      <w:r w:rsidRPr="00752793">
        <w:rPr>
          <w:rStyle w:val="BookTitle"/>
        </w:rPr>
        <w:lastRenderedPageBreak/>
        <w:t>Հավելված</w:t>
      </w:r>
    </w:p>
    <w:p w14:paraId="50A6E554" w14:textId="77777777" w:rsidR="00F02D7F" w:rsidRPr="00752793" w:rsidRDefault="00F02D7F" w:rsidP="00866885">
      <w:pPr>
        <w:keepNext/>
        <w:keepLines/>
        <w:spacing w:line="240" w:lineRule="auto"/>
        <w:ind w:left="6095" w:firstLine="0"/>
        <w:contextualSpacing/>
        <w:jc w:val="left"/>
        <w:rPr>
          <w:rStyle w:val="BookTitle"/>
        </w:rPr>
      </w:pPr>
      <w:r w:rsidRPr="00752793">
        <w:rPr>
          <w:rStyle w:val="BookTitle"/>
        </w:rPr>
        <w:t>Հաշվեքննիչ պալատի 2025 թվականի</w:t>
      </w:r>
    </w:p>
    <w:p w14:paraId="2DB89D76" w14:textId="0BA104A8" w:rsidR="00F02D7F" w:rsidRPr="00752793" w:rsidRDefault="00F02D7F" w:rsidP="00866885">
      <w:pPr>
        <w:keepNext/>
        <w:keepLines/>
        <w:spacing w:line="240" w:lineRule="auto"/>
        <w:ind w:left="6095" w:firstLine="0"/>
        <w:contextualSpacing/>
        <w:jc w:val="left"/>
        <w:rPr>
          <w:rStyle w:val="BookTitle"/>
        </w:rPr>
      </w:pPr>
      <w:r w:rsidRPr="00752793">
        <w:rPr>
          <w:rStyle w:val="BookTitle"/>
        </w:rPr>
        <w:t xml:space="preserve">նոյեմբերի 27-ի թիվ </w:t>
      </w:r>
      <w:r w:rsidR="009A1671">
        <w:rPr>
          <w:rStyle w:val="BookTitle"/>
          <w:lang w:val="en-GB"/>
        </w:rPr>
        <w:t>81</w:t>
      </w:r>
      <w:r w:rsidRPr="00752793">
        <w:rPr>
          <w:rStyle w:val="BookTitle"/>
        </w:rPr>
        <w:t>-Լ որոշման</w:t>
      </w:r>
    </w:p>
    <w:p w14:paraId="542753C8" w14:textId="77777777" w:rsidR="00F02D7F" w:rsidRPr="00752793" w:rsidRDefault="00F02D7F" w:rsidP="00856E20"/>
    <w:p w14:paraId="2CBD6FFE" w14:textId="6387ECE6" w:rsidR="009E0464" w:rsidRPr="00752793" w:rsidRDefault="009E0464" w:rsidP="00856E20">
      <w:pPr>
        <w:pStyle w:val="Title"/>
      </w:pPr>
      <w:r w:rsidRPr="00752793">
        <w:t>ՀԱՇՎԵՔՆՆԻՉ ՊԱԼԱՏԻ 202</w:t>
      </w:r>
      <w:r w:rsidR="009506EF" w:rsidRPr="00752793">
        <w:t>6</w:t>
      </w:r>
      <w:r w:rsidRPr="00752793">
        <w:t xml:space="preserve"> ԹՎԱԿԱՆԻ ԳՈՐԾՈՒՆԵՈՒԹՅԱՆ ԾՐԱԳԻՐ</w:t>
      </w:r>
      <w:r w:rsidR="008368B7" w:rsidRPr="00752793">
        <w:t>Ը</w:t>
      </w:r>
    </w:p>
    <w:p w14:paraId="26FDFC75" w14:textId="54266B97" w:rsidR="0082642A" w:rsidRPr="00752793" w:rsidRDefault="0082642A" w:rsidP="00856E20">
      <w:r w:rsidRPr="00752793">
        <w:t>Հաշվեքննիչ պալատի գործունեության ծրագիրն արտացոլում է արտաքին պետական հաշվեքննության ոլորտում 2026 թվականին իրականացվող քաղաքականությունը</w:t>
      </w:r>
      <w:r w:rsidRPr="00752793">
        <w:rPr>
          <w:rStyle w:val="FootnoteReference"/>
        </w:rPr>
        <w:footnoteReference w:id="1"/>
      </w:r>
      <w:r w:rsidRPr="00752793">
        <w:t>։ Այն բխում է «Հաշվեքննության 2026</w:t>
      </w:r>
      <w:r w:rsidRPr="00752793">
        <w:noBreakHyphen/>
        <w:t>2028 թվականների առաջնահերթություններից»</w:t>
      </w:r>
      <w:r w:rsidRPr="00752793">
        <w:rPr>
          <w:rStyle w:val="FootnoteReference"/>
        </w:rPr>
        <w:footnoteReference w:id="2"/>
      </w:r>
      <w:r w:rsidRPr="00752793">
        <w:t xml:space="preserve"> և Հաշվեքննիչ պալատի ռազմավարական զարգացման ծրագրի իրականացման միջոցառումներից</w:t>
      </w:r>
      <w:r w:rsidRPr="00752793">
        <w:rPr>
          <w:rStyle w:val="FootnoteReference"/>
        </w:rPr>
        <w:footnoteReference w:id="3"/>
      </w:r>
      <w:r w:rsidRPr="00752793">
        <w:t>:</w:t>
      </w:r>
    </w:p>
    <w:p w14:paraId="2A3304F9" w14:textId="12662296" w:rsidR="008368B7" w:rsidRPr="00752793" w:rsidRDefault="002A77C6" w:rsidP="00856E20">
      <w:r w:rsidRPr="00752793">
        <w:t>Հաշվեքննիչ պալատի գործունեության նպատակը հաշվեքննությունների իրականացմամբ հանրային սեփականության, ներառյալ՝ ֆինանսների կառավարման ոլորտում օրինականության և արդյունավետության պահպանման վերաբերյալ հանրությանն ու Ազգային ժողով ժամանակին մասնագիտական ու անկողմնակալ տեղեկատվություն ներկայացնելն է</w:t>
      </w:r>
      <w:r w:rsidR="008368B7" w:rsidRPr="00752793">
        <w:rPr>
          <w:rStyle w:val="FootnoteReference"/>
        </w:rPr>
        <w:footnoteReference w:id="4"/>
      </w:r>
      <w:r w:rsidR="008368B7" w:rsidRPr="00752793">
        <w:t xml:space="preserve">: </w:t>
      </w:r>
    </w:p>
    <w:p w14:paraId="36EBC7A1" w14:textId="73498BF0" w:rsidR="008368B7" w:rsidRPr="00752793" w:rsidRDefault="008368B7" w:rsidP="00856E20">
      <w:r w:rsidRPr="00752793">
        <w:t>Հաշվեքննիչ պալատը 2026 թվականին ապահովելու է օրենսդրությամբ սահմանված</w:t>
      </w:r>
      <w:r w:rsidR="00856E20" w:rsidRPr="00752793">
        <w:rPr>
          <w:rStyle w:val="FootnoteReference"/>
        </w:rPr>
        <w:footnoteReference w:id="5"/>
      </w:r>
      <w:r w:rsidRPr="00752793">
        <w:t xml:space="preserve"> պահանջների կատարումը՝ ՀՀ Ազգային ժողով և ՀՀ կառավարություն է ներկայացնելու ու հրապարակելու է ՀՀ 2026 թվականի պետական բյուջեի կատարման վերաբերյալ Եզրակացությունը, ինչպես նաև ծրագրում ներառված հաշվեքննությունների արդյունքներն ամփոփող Ընթացիկ եզրակացությունները (հաշվետվությունները)</w:t>
      </w:r>
      <w:r w:rsidR="00856E20" w:rsidRPr="00752793" w:rsidDel="00856E20">
        <w:rPr>
          <w:rStyle w:val="FootnoteReference"/>
        </w:rPr>
        <w:t xml:space="preserve"> </w:t>
      </w:r>
      <w:r w:rsidRPr="00752793">
        <w:t>։</w:t>
      </w:r>
    </w:p>
    <w:p w14:paraId="0EF91F86" w14:textId="6DD5BA84" w:rsidR="0082642A" w:rsidRPr="00752793" w:rsidRDefault="0082642A" w:rsidP="00856E20">
      <w:r w:rsidRPr="00752793">
        <w:t xml:space="preserve">Գործունեության ծրագրում ներառվել են այն թեմաները, որոնց հաշվեքննությամբ գնահատվում է, որ Հաշվեքննիչ պալատի համար օգտագործվող հանրային միջոցների դիմաց հնարավոր կլինի ստանալ առավելագույն արժեք։ Մասնավորապես, թեմաների ընտրության համար հաշվի են առնվել հանրային կառավարման հայտարարված ստորև ներկայացվող գերակայությունները։ </w:t>
      </w:r>
    </w:p>
    <w:p w14:paraId="07A9F5DB" w14:textId="04B0A411" w:rsidR="0082642A" w:rsidRPr="00752793" w:rsidRDefault="0082642A" w:rsidP="00866885">
      <w:pPr>
        <w:spacing w:before="360"/>
        <w:rPr>
          <w:rStyle w:val="Strong"/>
        </w:rPr>
      </w:pPr>
      <w:r w:rsidRPr="00752793">
        <w:rPr>
          <w:rStyle w:val="Strong"/>
        </w:rPr>
        <w:t>Գերակայություն 1. Մարդկային կապիտալի զարգացում</w:t>
      </w:r>
    </w:p>
    <w:p w14:paraId="063B1BA5" w14:textId="281BF057" w:rsidR="0082642A" w:rsidRPr="00752793" w:rsidRDefault="0082642A" w:rsidP="00856E20">
      <w:r w:rsidRPr="00752793">
        <w:t xml:space="preserve">Կրթական համակարգի զարգացումը գերակա խնդիր է և այն կայուն զարգացման ու համընդհանուր բարեկեցության բանալին է: Անհատի և հանրային առողջության պահպանումը ու բարելավումը մարդկային կապիտալի հաջորդ կարևորագույն բաղադրիչն է։ Առողջապահական </w:t>
      </w:r>
      <w:r w:rsidRPr="00752793">
        <w:lastRenderedPageBreak/>
        <w:t xml:space="preserve">ծառայությունների հասանելիությունը, որակը և մատչելիությունը էապես կախված է բնագավառում աշխատող մարդկանցից։ </w:t>
      </w:r>
    </w:p>
    <w:p w14:paraId="24A032C1" w14:textId="1DECA363" w:rsidR="0082642A" w:rsidRPr="00752793" w:rsidRDefault="0082642A" w:rsidP="00856E20">
      <w:r w:rsidRPr="00752793">
        <w:t>Այդ առումով, «կրթություն-աշխատաշուկա» ռացիոնալ («փողի դիմաց առավելագույն արժեք») կապի ուղղությամբ հանրային կառավարման համակարգի գործունեությունը կարևոր նախադրյալ է՝ առողջապահության ոլորտը բարձրագույն և հետբուհական կրթությամբ որակյալ մասնագետներով համաչափ ապահովելը (</w:t>
      </w:r>
      <w:r w:rsidRPr="00752793">
        <w:rPr>
          <w:rStyle w:val="QuoteChar"/>
        </w:rPr>
        <w:t>Գործունեության ծրագրի 2-րդ կետ</w:t>
      </w:r>
      <w:r w:rsidRPr="00752793">
        <w:t>)։</w:t>
      </w:r>
    </w:p>
    <w:p w14:paraId="044E5559" w14:textId="5E71745D" w:rsidR="0082642A" w:rsidRPr="00752793" w:rsidRDefault="0082642A" w:rsidP="00866885">
      <w:pPr>
        <w:spacing w:before="360"/>
        <w:rPr>
          <w:rStyle w:val="Strong"/>
        </w:rPr>
      </w:pPr>
      <w:r w:rsidRPr="00752793">
        <w:rPr>
          <w:rStyle w:val="Strong"/>
        </w:rPr>
        <w:t>Գերակայություն 2. Տնտեսություն</w:t>
      </w:r>
    </w:p>
    <w:p w14:paraId="30C7D73A" w14:textId="428E52DF" w:rsidR="0082642A" w:rsidRPr="00752793" w:rsidRDefault="0082642A" w:rsidP="00856E20">
      <w:r w:rsidRPr="00752793">
        <w:t xml:space="preserve"> Բարեկեցության աճի հիմնական շարժիչ ուժը տնտեսական նշանակալի աճն է: Տնտեսական բարձր աճի և գեներացվող եկամուտների բաշխման համաչափության պարագայում է միայն հնարավոր մարդկանց կյանքի որակի բարձրացումը։</w:t>
      </w:r>
    </w:p>
    <w:p w14:paraId="7D989FFD" w14:textId="77777777" w:rsidR="0082642A" w:rsidRPr="00752793" w:rsidRDefault="0082642A" w:rsidP="00856E20">
      <w:r w:rsidRPr="00752793">
        <w:t>Տնտեսության կարևոր ճյուղերից մեկի՝ գյուղատնտեսության զարգացման հիմնախնդրի լուծման ուղղությամբ պետական քաղաքականության միջոցառումների բարելավումը տնտեսական աճի, ներառյալ նաև՝ պարենային անվտանգության, զգալի չիրացված ներուժ ունի (</w:t>
      </w:r>
      <w:r w:rsidRPr="00752793">
        <w:rPr>
          <w:rStyle w:val="QuoteChar"/>
        </w:rPr>
        <w:t>Գործունեության ծրագրի 3-րդ կետ</w:t>
      </w:r>
      <w:r w:rsidRPr="00752793">
        <w:t>)։</w:t>
      </w:r>
    </w:p>
    <w:p w14:paraId="633E9788" w14:textId="77777777" w:rsidR="0082642A" w:rsidRPr="00752793" w:rsidRDefault="0082642A" w:rsidP="00856E20">
      <w:pPr>
        <w:rPr>
          <w:rFonts w:eastAsiaTheme="minorEastAsia"/>
        </w:rPr>
      </w:pPr>
      <w:r w:rsidRPr="00752793">
        <w:t>Ներքին շուկայի փոքրությամբ պայմանավորված՝ տնտեսական աճի ներուժի ընդլայնումն էապես կախված է արտաքին առևտրի բնագավառում մրցունակությունից։ Այդ առումով, արտահանման ներուժ ունեցող թիրախային մրցունակ արտադրանքի թողարկումն անհրաժեշտ, բայց ոչ բավարար պայման է։ Միջազգային շուկայում թիրախավորած իրացման սեգմենտը «զբաղեցնելու» համար անհրաժեշտ է նաև ձևավորել  ՀՀ տնտեսության թողարկումը համարժեք առևտրայնացնելու (մարքեթինգի) կարողություններ։ (</w:t>
      </w:r>
      <w:r w:rsidRPr="00752793">
        <w:rPr>
          <w:rStyle w:val="QuoteChar"/>
        </w:rPr>
        <w:t>Գործունեության ծրագրի 4-րդ կետ</w:t>
      </w:r>
      <w:r w:rsidRPr="00752793">
        <w:t>)։</w:t>
      </w:r>
    </w:p>
    <w:p w14:paraId="73482886" w14:textId="77777777" w:rsidR="0082642A" w:rsidRPr="00752793" w:rsidRDefault="0082642A" w:rsidP="00856E20">
      <w:r w:rsidRPr="00752793">
        <w:t xml:space="preserve">Տնտեսության զարգացման հաջորդ կարևոր բաղադրիչի՝ հանրային բարիքի բաշխման, իր նպատակին ծառայեցնելու արդյունավետությունը կանխորոշվում է պետական բյուջեով։ Պետական բյուջեի ազդեցության ներուժի առավելագույն իրացումը զգալիորեն կախված է բյուջետային «գործիքների» կիրառության համարժեքությունից։ </w:t>
      </w:r>
      <w:bookmarkStart w:id="1" w:name="_Hlk216007974"/>
      <w:r w:rsidRPr="00752793">
        <w:t>(</w:t>
      </w:r>
      <w:r w:rsidRPr="00752793">
        <w:rPr>
          <w:rStyle w:val="QuoteChar"/>
        </w:rPr>
        <w:t>Գործունեության ծրագրի 5, 6-րդ կետեր</w:t>
      </w:r>
      <w:r w:rsidRPr="00752793">
        <w:t>)</w:t>
      </w:r>
      <w:bookmarkEnd w:id="1"/>
      <w:r w:rsidRPr="00752793">
        <w:t>։</w:t>
      </w:r>
    </w:p>
    <w:p w14:paraId="00F874D1" w14:textId="42A4209C" w:rsidR="0082642A" w:rsidRPr="00752793" w:rsidRDefault="0082642A" w:rsidP="00866885">
      <w:pPr>
        <w:spacing w:before="360"/>
        <w:rPr>
          <w:rStyle w:val="Strong"/>
        </w:rPr>
      </w:pPr>
      <w:r w:rsidRPr="00752793">
        <w:rPr>
          <w:rStyle w:val="Strong"/>
        </w:rPr>
        <w:t>Գերակայություն 3. Ինստիտուցիոնալ զարգացում</w:t>
      </w:r>
    </w:p>
    <w:p w14:paraId="56A6140C" w14:textId="701881C2" w:rsidR="0082642A" w:rsidRPr="00752793" w:rsidRDefault="006817DA" w:rsidP="00856E20">
      <w:r w:rsidRPr="00752793">
        <w:t>Պ</w:t>
      </w:r>
      <w:r w:rsidR="0082642A" w:rsidRPr="00752793">
        <w:t xml:space="preserve">ետական </w:t>
      </w:r>
      <w:r w:rsidRPr="00752793">
        <w:t xml:space="preserve"> կայացած </w:t>
      </w:r>
      <w:r w:rsidR="0082642A" w:rsidRPr="00752793">
        <w:t>ինստիտուտներն են ի վիճակի հանրությանը մատուցել որակյալ ծառայություններ՝ դրանք դարձնելով մարդակենտրոն և արդիական ու առաջադեմ տեխնոլոգիաների կիրառությամբ թեթևացնել պետության հետ հարաբերություններում մարդկանց և գործարար հատվածի անհարկի բեռը:</w:t>
      </w:r>
    </w:p>
    <w:p w14:paraId="3C5BEAF3" w14:textId="77777777" w:rsidR="0082642A" w:rsidRPr="00752793" w:rsidRDefault="0082642A" w:rsidP="00856E20">
      <w:r w:rsidRPr="00752793">
        <w:t>Այդ առումով, հանրային ունեցվածքի՝ ներառյալ պետության և համայնքների սեփականության կառավարումը էական գործոն է պետական ինստիտուտների արդյունավետության համար։ (</w:t>
      </w:r>
      <w:r w:rsidRPr="00752793">
        <w:rPr>
          <w:rStyle w:val="QuoteChar"/>
        </w:rPr>
        <w:t>Գործունեության ծրագրի 7, 8, 9 ,10-րդ կետեր</w:t>
      </w:r>
      <w:r w:rsidRPr="00752793">
        <w:t>)։</w:t>
      </w:r>
    </w:p>
    <w:p w14:paraId="2D51425F" w14:textId="5EA9B9C5" w:rsidR="0082642A" w:rsidRPr="00752793" w:rsidRDefault="006817DA" w:rsidP="00856E20">
      <w:r w:rsidRPr="00752793">
        <w:lastRenderedPageBreak/>
        <w:t>Տարածքային կառավարման և տեղական ինքնակառավարման բնագավառում վերջին տարիներին տեղի ունեցած զարգացումների արդյունքում հ</w:t>
      </w:r>
      <w:r w:rsidR="0082642A" w:rsidRPr="00752793">
        <w:t>ամայնքներ</w:t>
      </w:r>
      <w:r w:rsidRPr="00752793">
        <w:t xml:space="preserve">ը զգալիորեն </w:t>
      </w:r>
      <w:r w:rsidR="0082642A" w:rsidRPr="00752793">
        <w:t>խոշորաց</w:t>
      </w:r>
      <w:r w:rsidRPr="00752793">
        <w:t>ել են</w:t>
      </w:r>
      <w:r w:rsidR="0082642A" w:rsidRPr="00752793">
        <w:t>: Խոշորացված համայնքների կառավարումը արդյունավետության նոր հնարավորություններ է ստեղծում թե՛ ներհամայնքային զարգացման համաչափության և թե՛ մասշտաբի էֆեկտի առումով, որի ներուժը</w:t>
      </w:r>
      <w:r w:rsidR="00443956" w:rsidRPr="00443956">
        <w:t>,</w:t>
      </w:r>
      <w:r w:rsidR="0082642A" w:rsidRPr="00752793">
        <w:t xml:space="preserve"> սակայն դեռևս իրացված չէ: (</w:t>
      </w:r>
      <w:r w:rsidR="0082642A" w:rsidRPr="00752793">
        <w:rPr>
          <w:rStyle w:val="QuoteChar"/>
        </w:rPr>
        <w:t>Գործունեության ծրագրի 11-րդ կետ</w:t>
      </w:r>
      <w:r w:rsidR="0082642A" w:rsidRPr="00752793">
        <w:t>)։</w:t>
      </w:r>
    </w:p>
    <w:p w14:paraId="216C050A" w14:textId="77777777" w:rsidR="0082642A" w:rsidRPr="00752793" w:rsidRDefault="0082642A" w:rsidP="00856E20">
      <w:r w:rsidRPr="00752793">
        <w:t>Հաշվեքննիչ պալատը, հաշվի առնելով օրենսդրության պահանջները և 2026 թվականի համար վերոնկարագրյալ գերակայությունները, հաստատել է հետևյալ 3 բաժնից</w:t>
      </w:r>
      <w:r w:rsidRPr="00752793" w:rsidDel="00AC2546">
        <w:t xml:space="preserve"> </w:t>
      </w:r>
      <w:r w:rsidRPr="00752793">
        <w:t>բաղկացած իր գործունեության ծրագիրը.</w:t>
      </w:r>
    </w:p>
    <w:p w14:paraId="480A11E5" w14:textId="77777777" w:rsidR="0082642A" w:rsidRPr="00443956" w:rsidRDefault="0082642A" w:rsidP="006817DA">
      <w:pPr>
        <w:pStyle w:val="ListParagraph"/>
        <w:rPr>
          <w:lang w:val="hy-AM"/>
        </w:rPr>
      </w:pPr>
      <w:r w:rsidRPr="00443956">
        <w:rPr>
          <w:lang w:val="hy-AM"/>
        </w:rPr>
        <w:t>Պետական բյուջեի ֆինանսական և թեմատիկ հաշվեքննություններ,</w:t>
      </w:r>
    </w:p>
    <w:p w14:paraId="455D600C" w14:textId="3048930F" w:rsidR="0082642A" w:rsidRPr="00443956" w:rsidRDefault="0082642A" w:rsidP="006817DA">
      <w:pPr>
        <w:pStyle w:val="ListParagraph"/>
        <w:rPr>
          <w:lang w:val="hy-AM"/>
        </w:rPr>
      </w:pPr>
      <w:r w:rsidRPr="00443956">
        <w:rPr>
          <w:lang w:val="hy-AM"/>
        </w:rPr>
        <w:t>Միջազգային համաձայնագրերով ստանձած պարտավորությունների կատարմանն ուղղված միջոցառումներ</w:t>
      </w:r>
      <w:r w:rsidRPr="00443956">
        <w:rPr>
          <w:rStyle w:val="FootnoteReference"/>
        </w:rPr>
        <w:footnoteReference w:id="6"/>
      </w:r>
      <w:r w:rsidRPr="00443956">
        <w:rPr>
          <w:lang w:val="hy-AM"/>
        </w:rPr>
        <w:t>, և</w:t>
      </w:r>
    </w:p>
    <w:p w14:paraId="2A3A8EBE" w14:textId="77777777" w:rsidR="0082642A" w:rsidRPr="00443956" w:rsidRDefault="0082642A" w:rsidP="006817DA">
      <w:pPr>
        <w:pStyle w:val="ListParagraph"/>
        <w:rPr>
          <w:lang w:val="hy-AM"/>
        </w:rPr>
      </w:pPr>
      <w:r w:rsidRPr="00443956">
        <w:rPr>
          <w:lang w:val="hy-AM"/>
        </w:rPr>
        <w:t>Հաշվեքննիչ պալատի 2026-2032 թվականների ռազմավարական զարգացման ծրագրի միջոցառումներ։</w:t>
      </w:r>
    </w:p>
    <w:p w14:paraId="55A93CAA" w14:textId="0A8FD804" w:rsidR="0033452E" w:rsidRPr="00752793" w:rsidRDefault="00325EEA" w:rsidP="00856E20">
      <w:pPr>
        <w:rPr>
          <w:lang w:bidi="hi-IN"/>
        </w:rPr>
        <w:sectPr w:rsidR="0033452E" w:rsidRPr="00752793" w:rsidSect="002754D0">
          <w:footerReference w:type="default" r:id="rId15"/>
          <w:pgSz w:w="12240" w:h="15840"/>
          <w:pgMar w:top="1135" w:right="616" w:bottom="426" w:left="993" w:header="720" w:footer="624" w:gutter="0"/>
          <w:pgNumType w:start="0"/>
          <w:cols w:space="720"/>
          <w:titlePg/>
          <w:docGrid w:linePitch="360"/>
        </w:sectPr>
      </w:pPr>
      <w:r w:rsidRPr="00752793">
        <w:t>Հաշվեքննիչ պալատի 2026 թվականի գործունեության ծրագր</w:t>
      </w:r>
      <w:r w:rsidR="00BD4E1F" w:rsidRPr="00752793">
        <w:t>ի</w:t>
      </w:r>
      <w:r w:rsidRPr="00752793">
        <w:t xml:space="preserve"> բաժիններում ներառված թեմաները</w:t>
      </w:r>
      <w:r w:rsidR="008D73FE" w:rsidRPr="00752793">
        <w:t>,</w:t>
      </w:r>
      <w:r w:rsidRPr="00752793">
        <w:t xml:space="preserve">  միջոցառումները</w:t>
      </w:r>
      <w:r w:rsidR="008D73FE" w:rsidRPr="00752793">
        <w:t xml:space="preserve"> և դրանց հիմնավորումները</w:t>
      </w:r>
      <w:r w:rsidRPr="00752793">
        <w:t xml:space="preserve"> ներկայացված են ստորև</w:t>
      </w:r>
      <w:r w:rsidRPr="00752793">
        <w:rPr>
          <w:lang w:bidi="hi-IN"/>
        </w:rPr>
        <w:t>։</w:t>
      </w:r>
    </w:p>
    <w:p w14:paraId="474A1D44" w14:textId="1FE7FED9" w:rsidR="0033452E" w:rsidRPr="00752793" w:rsidRDefault="0033452E" w:rsidP="00866885">
      <w:pPr>
        <w:pStyle w:val="Subtitle"/>
        <w:spacing w:after="480"/>
        <w:ind w:left="567" w:firstLine="0"/>
        <w:jc w:val="left"/>
        <w:rPr>
          <w:sz w:val="26"/>
          <w:szCs w:val="26"/>
        </w:rPr>
      </w:pPr>
      <w:r w:rsidRPr="00443956">
        <w:rPr>
          <w:sz w:val="26"/>
          <w:szCs w:val="26"/>
        </w:rPr>
        <w:lastRenderedPageBreak/>
        <w:t>ՀԱՇՎԵՔՆՆԻՉ ՊԱԼԱՏԻ 2026 ԹՎԱԿԱՆԻ ԳՈՐԾՈՒՆԵՈՒԹՅԱՆ ԾՐԱԳ</w:t>
      </w:r>
      <w:r w:rsidRPr="00752793">
        <w:rPr>
          <w:sz w:val="26"/>
          <w:szCs w:val="26"/>
        </w:rPr>
        <w:t>ՐՈՒՄ ՆԵՐԱՌՎԱԾ ՀԱՇՎԵՔՆՆՈՒԹՅՈՒՆՆԵՐ</w:t>
      </w:r>
      <w:r w:rsidR="00325EEA" w:rsidRPr="00752793">
        <w:rPr>
          <w:sz w:val="26"/>
          <w:szCs w:val="26"/>
        </w:rPr>
        <w:t>Ի ԹԵՄԱՆԵՐԸ</w:t>
      </w:r>
      <w:r w:rsidRPr="00752793">
        <w:rPr>
          <w:sz w:val="26"/>
          <w:szCs w:val="26"/>
        </w:rPr>
        <w:t xml:space="preserve"> ԵՎ ՄԻՋՈՑԱՌՈՒՄՆԵՐԸ</w:t>
      </w:r>
    </w:p>
    <w:tbl>
      <w:tblPr>
        <w:tblStyle w:val="TableGrid1"/>
        <w:tblW w:w="14034" w:type="dxa"/>
        <w:tblInd w:w="562" w:type="dxa"/>
        <w:tblLayout w:type="fixed"/>
        <w:tblLook w:val="04A0" w:firstRow="1" w:lastRow="0" w:firstColumn="1" w:lastColumn="0" w:noHBand="0" w:noVBand="1"/>
      </w:tblPr>
      <w:tblGrid>
        <w:gridCol w:w="566"/>
        <w:gridCol w:w="4252"/>
        <w:gridCol w:w="2412"/>
        <w:gridCol w:w="2268"/>
        <w:gridCol w:w="2693"/>
        <w:gridCol w:w="1843"/>
      </w:tblGrid>
      <w:tr w:rsidR="006F50ED" w:rsidRPr="00752793" w14:paraId="638D08AD" w14:textId="77777777" w:rsidTr="006F50ED">
        <w:trPr>
          <w:trHeight w:val="181"/>
        </w:trPr>
        <w:tc>
          <w:tcPr>
            <w:tcW w:w="14034" w:type="dxa"/>
            <w:gridSpan w:val="6"/>
            <w:tcBorders>
              <w:top w:val="nil"/>
              <w:left w:val="nil"/>
              <w:right w:val="nil"/>
            </w:tcBorders>
            <w:shd w:val="clear" w:color="auto" w:fill="auto"/>
            <w:vAlign w:val="center"/>
          </w:tcPr>
          <w:p w14:paraId="015187C8" w14:textId="77777777" w:rsidR="0033452E" w:rsidRPr="00443956" w:rsidRDefault="0033452E" w:rsidP="00866885">
            <w:pPr>
              <w:keepNext/>
              <w:keepLines/>
              <w:spacing w:before="480" w:after="360"/>
              <w:ind w:firstLine="0"/>
              <w:jc w:val="left"/>
              <w:rPr>
                <w:rFonts w:ascii="GHEA Grapalat" w:hAnsi="GHEA Grapalat"/>
                <w:b/>
                <w:bCs/>
                <w:color w:val="806000" w:themeColor="accent4" w:themeShade="80"/>
                <w:sz w:val="24"/>
                <w:szCs w:val="24"/>
              </w:rPr>
            </w:pPr>
            <w:r w:rsidRPr="00443956">
              <w:rPr>
                <w:rFonts w:ascii="GHEA Grapalat" w:hAnsi="GHEA Grapalat"/>
                <w:b/>
                <w:bCs/>
                <w:color w:val="806000" w:themeColor="accent4" w:themeShade="80"/>
              </w:rPr>
              <w:t>1-ԻՆ ԲԱԺԻՆ - ՊԵՏԱԿԱՆ ԲՅՈՒՋԵԻ ԿԱՏԱՐՄԱՆ ՀԱՇՎԵՔՆՆՈՒԹՅՈՒՆ</w:t>
            </w:r>
          </w:p>
        </w:tc>
      </w:tr>
      <w:tr w:rsidR="007448E7" w:rsidRPr="00752793" w14:paraId="32D1727B" w14:textId="77777777" w:rsidTr="00866885">
        <w:trPr>
          <w:trHeight w:val="181"/>
          <w:tblHeader/>
        </w:trPr>
        <w:tc>
          <w:tcPr>
            <w:tcW w:w="566" w:type="dxa"/>
            <w:shd w:val="clear" w:color="auto" w:fill="D9E2F3" w:themeFill="accent5" w:themeFillTint="33"/>
            <w:vAlign w:val="center"/>
          </w:tcPr>
          <w:p w14:paraId="4355132D" w14:textId="77777777" w:rsidR="0033452E" w:rsidRPr="00752793" w:rsidRDefault="0033452E" w:rsidP="00866885">
            <w:pPr>
              <w:ind w:firstLine="0"/>
              <w:jc w:val="center"/>
              <w:rPr>
                <w:rFonts w:ascii="GHEA Grapalat" w:hAnsi="GHEA Grapalat" w:cstheme="minorBidi"/>
                <w:b/>
                <w:bCs/>
                <w:sz w:val="24"/>
                <w:szCs w:val="24"/>
              </w:rPr>
            </w:pPr>
            <w:bookmarkStart w:id="2" w:name="_Hlk216251233"/>
            <w:r w:rsidRPr="00752793">
              <w:rPr>
                <w:rFonts w:ascii="GHEA Grapalat" w:hAnsi="GHEA Grapalat" w:cstheme="minorBidi"/>
                <w:b/>
                <w:bCs/>
              </w:rPr>
              <w:t>N</w:t>
            </w:r>
          </w:p>
        </w:tc>
        <w:tc>
          <w:tcPr>
            <w:tcW w:w="4252" w:type="dxa"/>
            <w:shd w:val="clear" w:color="auto" w:fill="D9E2F3" w:themeFill="accent5" w:themeFillTint="33"/>
            <w:vAlign w:val="center"/>
          </w:tcPr>
          <w:p w14:paraId="31CD90FC" w14:textId="77777777" w:rsidR="0033452E" w:rsidRPr="00752793" w:rsidRDefault="0033452E" w:rsidP="00114E4D">
            <w:pPr>
              <w:ind w:firstLine="0"/>
              <w:jc w:val="center"/>
              <w:rPr>
                <w:rFonts w:ascii="GHEA Grapalat" w:hAnsi="GHEA Grapalat"/>
                <w:b/>
                <w:bCs/>
                <w:sz w:val="24"/>
                <w:szCs w:val="24"/>
              </w:rPr>
            </w:pPr>
            <w:r w:rsidRPr="00752793">
              <w:rPr>
                <w:rFonts w:ascii="GHEA Grapalat" w:hAnsi="GHEA Grapalat" w:cstheme="minorBidi"/>
                <w:b/>
                <w:bCs/>
              </w:rPr>
              <w:t>ՕԲՅԵԿՏԸ</w:t>
            </w:r>
          </w:p>
        </w:tc>
        <w:tc>
          <w:tcPr>
            <w:tcW w:w="2412" w:type="dxa"/>
            <w:shd w:val="clear" w:color="auto" w:fill="D9E2F3" w:themeFill="accent5" w:themeFillTint="33"/>
            <w:vAlign w:val="center"/>
          </w:tcPr>
          <w:p w14:paraId="363FD76F"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ԱՌԱՐԿԱՆ</w:t>
            </w:r>
          </w:p>
        </w:tc>
        <w:tc>
          <w:tcPr>
            <w:tcW w:w="2268" w:type="dxa"/>
            <w:shd w:val="clear" w:color="auto" w:fill="D9E2F3" w:themeFill="accent5" w:themeFillTint="33"/>
            <w:vAlign w:val="center"/>
          </w:tcPr>
          <w:p w14:paraId="4A388687"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ՏԵՍԱԿԸ</w:t>
            </w:r>
          </w:p>
        </w:tc>
        <w:tc>
          <w:tcPr>
            <w:tcW w:w="2693" w:type="dxa"/>
            <w:shd w:val="clear" w:color="auto" w:fill="D9E2F3" w:themeFill="accent5" w:themeFillTint="33"/>
            <w:vAlign w:val="center"/>
          </w:tcPr>
          <w:p w14:paraId="758DD4A3"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5D236B1F" w14:textId="77777777" w:rsidR="0033452E" w:rsidRPr="00752793" w:rsidRDefault="0033452E" w:rsidP="00114E4D">
            <w:pPr>
              <w:ind w:firstLine="0"/>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A3448" w:rsidRPr="00752793" w14:paraId="7CA4BE40" w14:textId="77777777" w:rsidTr="00866885">
        <w:trPr>
          <w:trHeight w:val="70"/>
        </w:trPr>
        <w:tc>
          <w:tcPr>
            <w:tcW w:w="566" w:type="dxa"/>
            <w:tcBorders>
              <w:bottom w:val="single" w:sz="4" w:space="0" w:color="auto"/>
            </w:tcBorders>
          </w:tcPr>
          <w:p w14:paraId="2821B9F1" w14:textId="77777777" w:rsidR="0033452E" w:rsidRPr="00752793" w:rsidRDefault="0033452E" w:rsidP="00866885">
            <w:pPr>
              <w:pStyle w:val="ListParagraph"/>
              <w:numPr>
                <w:ilvl w:val="0"/>
                <w:numId w:val="11"/>
              </w:numPr>
              <w:ind w:left="0" w:firstLine="0"/>
              <w:jc w:val="left"/>
              <w:rPr>
                <w:rFonts w:ascii="GHEA Grapalat" w:eastAsiaTheme="minorHAnsi" w:hAnsi="GHEA Grapalat"/>
                <w:sz w:val="24"/>
                <w:szCs w:val="24"/>
              </w:rPr>
            </w:pPr>
            <w:bookmarkStart w:id="3" w:name="_Hlk216261121"/>
            <w:bookmarkEnd w:id="2"/>
            <w:r w:rsidRPr="00752793">
              <w:rPr>
                <w:rFonts w:ascii="GHEA Grapalat" w:eastAsiaTheme="minorHAnsi" w:hAnsi="GHEA Grapalat"/>
              </w:rPr>
              <w:t>1</w:t>
            </w:r>
          </w:p>
        </w:tc>
        <w:tc>
          <w:tcPr>
            <w:tcW w:w="4252" w:type="dxa"/>
            <w:tcBorders>
              <w:bottom w:val="single" w:sz="4" w:space="0" w:color="auto"/>
            </w:tcBorders>
          </w:tcPr>
          <w:p w14:paraId="30E7238D" w14:textId="77777777" w:rsidR="0033452E" w:rsidRPr="00752793" w:rsidRDefault="0033452E" w:rsidP="00866885">
            <w:pPr>
              <w:ind w:firstLine="0"/>
              <w:jc w:val="left"/>
              <w:rPr>
                <w:rFonts w:ascii="GHEA Grapalat" w:hAnsi="GHEA Grapalat"/>
                <w:sz w:val="24"/>
                <w:szCs w:val="24"/>
              </w:rPr>
            </w:pPr>
            <w:r w:rsidRPr="00752793">
              <w:rPr>
                <w:rFonts w:ascii="GHEA Grapalat" w:hAnsi="GHEA Grapalat" w:cstheme="minorBidi"/>
              </w:rPr>
              <w:t>ՀՀ 2026 թվականի պետական բյուջեով սահմանված ծրագրերի միջոցառումները կատարող հանրային իշխանության մարմիններ</w:t>
            </w:r>
            <w:r w:rsidRPr="00752793">
              <w:rPr>
                <w:rFonts w:ascii="GHEA Grapalat" w:hAnsi="GHEA Grapalat" w:cstheme="minorBidi"/>
                <w:lang w:val="en-GB"/>
              </w:rPr>
              <w:t xml:space="preserve"> և </w:t>
            </w:r>
            <w:r w:rsidRPr="00752793">
              <w:rPr>
                <w:rFonts w:ascii="GHEA Grapalat" w:hAnsi="GHEA Grapalat" w:cstheme="minorBidi"/>
              </w:rPr>
              <w:t>ՀՀ հիմնադրած՝ պետական գործառույթներով օժտված իրավաբանական անձինք</w:t>
            </w:r>
          </w:p>
        </w:tc>
        <w:tc>
          <w:tcPr>
            <w:tcW w:w="2412" w:type="dxa"/>
            <w:tcBorders>
              <w:bottom w:val="single" w:sz="4" w:space="0" w:color="auto"/>
            </w:tcBorders>
          </w:tcPr>
          <w:p w14:paraId="2E4B9943"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ՀՀ 2026թ. պետական բյուջեի կատարում</w:t>
            </w:r>
          </w:p>
        </w:tc>
        <w:tc>
          <w:tcPr>
            <w:tcW w:w="2268" w:type="dxa"/>
            <w:tcBorders>
              <w:bottom w:val="single" w:sz="4" w:space="0" w:color="auto"/>
            </w:tcBorders>
          </w:tcPr>
          <w:p w14:paraId="25436C4B"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Ֆինանսական հաշվեքննություն</w:t>
            </w:r>
            <w:r w:rsidRPr="00752793">
              <w:rPr>
                <w:rFonts w:ascii="GHEA Grapalat" w:hAnsi="GHEA Grapalat" w:cstheme="minorBidi"/>
                <w:vertAlign w:val="superscript"/>
              </w:rPr>
              <w:footnoteReference w:id="7"/>
            </w:r>
          </w:p>
        </w:tc>
        <w:tc>
          <w:tcPr>
            <w:tcW w:w="2693" w:type="dxa"/>
            <w:tcBorders>
              <w:bottom w:val="single" w:sz="4" w:space="0" w:color="auto"/>
            </w:tcBorders>
          </w:tcPr>
          <w:p w14:paraId="269E41A1" w14:textId="32C129AE"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Ֆինանսական և համապատասխա</w:t>
            </w:r>
            <w:r w:rsidR="00114E4D" w:rsidRPr="00752793">
              <w:rPr>
                <w:rFonts w:ascii="GHEA Grapalat" w:hAnsi="GHEA Grapalat" w:cstheme="minorBidi"/>
                <w:sz w:val="24"/>
                <w:szCs w:val="24"/>
              </w:rPr>
              <w:t>-</w:t>
            </w:r>
            <w:r w:rsidRPr="00752793">
              <w:rPr>
                <w:rFonts w:ascii="GHEA Grapalat" w:hAnsi="GHEA Grapalat" w:cstheme="minorBidi"/>
              </w:rPr>
              <w:t>նության հաշվեքննության վարչություն</w:t>
            </w:r>
          </w:p>
        </w:tc>
        <w:tc>
          <w:tcPr>
            <w:tcW w:w="1843" w:type="dxa"/>
            <w:tcBorders>
              <w:bottom w:val="single" w:sz="4" w:space="0" w:color="auto"/>
            </w:tcBorders>
          </w:tcPr>
          <w:p w14:paraId="204882CD" w14:textId="77777777" w:rsidR="0033452E" w:rsidRPr="00752793" w:rsidRDefault="0033452E" w:rsidP="00866885">
            <w:pPr>
              <w:ind w:firstLine="0"/>
              <w:jc w:val="left"/>
              <w:rPr>
                <w:rFonts w:ascii="GHEA Grapalat" w:hAnsi="GHEA Grapalat" w:cstheme="minorBidi"/>
                <w:sz w:val="24"/>
                <w:szCs w:val="24"/>
              </w:rPr>
            </w:pPr>
            <w:r w:rsidRPr="00752793">
              <w:rPr>
                <w:rFonts w:ascii="GHEA Grapalat" w:hAnsi="GHEA Grapalat" w:cstheme="minorBidi"/>
              </w:rPr>
              <w:t>2026-2027թթ.</w:t>
            </w:r>
          </w:p>
        </w:tc>
      </w:tr>
      <w:bookmarkEnd w:id="3"/>
      <w:tr w:rsidR="0033452E" w:rsidRPr="00752793" w14:paraId="7643ADEE" w14:textId="77777777" w:rsidTr="00866885">
        <w:trPr>
          <w:trHeight w:val="181"/>
          <w:tblHeader/>
        </w:trPr>
        <w:tc>
          <w:tcPr>
            <w:tcW w:w="14034" w:type="dxa"/>
            <w:gridSpan w:val="6"/>
            <w:tcBorders>
              <w:left w:val="nil"/>
              <w:right w:val="nil"/>
            </w:tcBorders>
            <w:shd w:val="clear" w:color="auto" w:fill="auto"/>
          </w:tcPr>
          <w:p w14:paraId="505FF8AF" w14:textId="77777777" w:rsidR="0033452E" w:rsidRPr="00752793" w:rsidRDefault="0033452E" w:rsidP="00866885">
            <w:pPr>
              <w:keepNext/>
              <w:keepLines/>
              <w:spacing w:before="480" w:after="360"/>
              <w:ind w:firstLine="0"/>
              <w:jc w:val="left"/>
              <w:rPr>
                <w:rFonts w:ascii="GHEA Grapalat" w:hAnsi="GHEA Grapalat"/>
                <w:b/>
                <w:bCs/>
                <w:sz w:val="24"/>
                <w:szCs w:val="24"/>
                <w:lang w:val="en-US"/>
              </w:rPr>
            </w:pPr>
            <w:r w:rsidRPr="00752793">
              <w:rPr>
                <w:rFonts w:ascii="GHEA Grapalat" w:hAnsi="GHEA Grapalat"/>
                <w:b/>
                <w:bCs/>
                <w:color w:val="806000" w:themeColor="accent4" w:themeShade="80"/>
                <w:lang w:val="en-US"/>
              </w:rPr>
              <w:lastRenderedPageBreak/>
              <w:t>1-ԻՆ ԲԱԺԻՆ - ԹԵՄԱՏԻԿ ՀԱՇՎԵՔՆՆՈՒԹՅՈՒՆՆԵՐ</w:t>
            </w:r>
          </w:p>
        </w:tc>
      </w:tr>
      <w:tr w:rsidR="00BA3448" w:rsidRPr="00752793" w14:paraId="63F46BF3" w14:textId="77777777" w:rsidTr="00866885">
        <w:trPr>
          <w:trHeight w:val="181"/>
          <w:tblHeader/>
        </w:trPr>
        <w:tc>
          <w:tcPr>
            <w:tcW w:w="566" w:type="dxa"/>
            <w:shd w:val="clear" w:color="auto" w:fill="D9E2F3" w:themeFill="accent5" w:themeFillTint="33"/>
            <w:vAlign w:val="center"/>
          </w:tcPr>
          <w:p w14:paraId="41562168" w14:textId="6661E73D" w:rsidR="0033452E" w:rsidRPr="00752793" w:rsidRDefault="00BA3448" w:rsidP="00866885">
            <w:pPr>
              <w:keepNext/>
              <w:keepLines/>
              <w:spacing w:line="240" w:lineRule="auto"/>
              <w:ind w:firstLine="0"/>
              <w:jc w:val="center"/>
              <w:rPr>
                <w:rFonts w:ascii="GHEA Grapalat" w:hAnsi="GHEA Grapalat"/>
                <w:sz w:val="24"/>
                <w:szCs w:val="24"/>
              </w:rPr>
            </w:pPr>
            <w:r w:rsidRPr="00752793">
              <w:rPr>
                <w:rFonts w:ascii="GHEA Grapalat" w:hAnsi="GHEA Grapalat" w:cstheme="minorBidi"/>
                <w:b/>
                <w:bCs/>
                <w:sz w:val="24"/>
                <w:szCs w:val="24"/>
              </w:rPr>
              <w:t>N</w:t>
            </w:r>
          </w:p>
        </w:tc>
        <w:tc>
          <w:tcPr>
            <w:tcW w:w="4252" w:type="dxa"/>
            <w:shd w:val="clear" w:color="auto" w:fill="D9E2F3" w:themeFill="accent5" w:themeFillTint="33"/>
            <w:vAlign w:val="center"/>
          </w:tcPr>
          <w:p w14:paraId="204C6521" w14:textId="5D25352D" w:rsidR="0033452E" w:rsidRPr="00752793" w:rsidRDefault="00BA3448" w:rsidP="00866885">
            <w:pPr>
              <w:keepNext/>
              <w:keepLines/>
              <w:ind w:firstLine="39"/>
              <w:jc w:val="center"/>
              <w:rPr>
                <w:rFonts w:ascii="GHEA Grapalat" w:hAnsi="GHEA Grapalat"/>
                <w:sz w:val="24"/>
                <w:szCs w:val="24"/>
              </w:rPr>
            </w:pPr>
            <w:r w:rsidRPr="00752793">
              <w:rPr>
                <w:rFonts w:ascii="GHEA Grapalat" w:hAnsi="GHEA Grapalat" w:cstheme="minorBidi"/>
                <w:b/>
                <w:bCs/>
                <w:sz w:val="24"/>
                <w:szCs w:val="24"/>
              </w:rPr>
              <w:t>ՕԲՅԵԿՏԸ</w:t>
            </w:r>
          </w:p>
        </w:tc>
        <w:tc>
          <w:tcPr>
            <w:tcW w:w="2412" w:type="dxa"/>
            <w:shd w:val="clear" w:color="auto" w:fill="D9E2F3" w:themeFill="accent5" w:themeFillTint="33"/>
            <w:vAlign w:val="center"/>
          </w:tcPr>
          <w:p w14:paraId="2DD06E5E"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ԱՌԱՐԿԱՆ</w:t>
            </w:r>
          </w:p>
        </w:tc>
        <w:tc>
          <w:tcPr>
            <w:tcW w:w="2268" w:type="dxa"/>
            <w:shd w:val="clear" w:color="auto" w:fill="D9E2F3" w:themeFill="accent5" w:themeFillTint="33"/>
            <w:vAlign w:val="center"/>
          </w:tcPr>
          <w:p w14:paraId="3026DBA6"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ՏԵՍԱԿԸ</w:t>
            </w:r>
          </w:p>
        </w:tc>
        <w:tc>
          <w:tcPr>
            <w:tcW w:w="2693" w:type="dxa"/>
            <w:shd w:val="clear" w:color="auto" w:fill="D9E2F3" w:themeFill="accent5" w:themeFillTint="33"/>
            <w:vAlign w:val="center"/>
          </w:tcPr>
          <w:p w14:paraId="5DC53E6D"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72F8D49B" w14:textId="77777777" w:rsidR="0033452E" w:rsidRPr="00752793" w:rsidRDefault="0033452E" w:rsidP="00866885">
            <w:pPr>
              <w:keepNext/>
              <w:keepLines/>
              <w:ind w:firstLine="39"/>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A3448" w:rsidRPr="00752793" w14:paraId="1CA781DB" w14:textId="77777777" w:rsidTr="009A1671">
        <w:trPr>
          <w:trHeight w:val="2036"/>
        </w:trPr>
        <w:tc>
          <w:tcPr>
            <w:tcW w:w="566" w:type="dxa"/>
            <w:tcBorders>
              <w:bottom w:val="single" w:sz="4" w:space="0" w:color="auto"/>
            </w:tcBorders>
          </w:tcPr>
          <w:p w14:paraId="7A0AC479" w14:textId="0E9CB489" w:rsidR="00BA3448" w:rsidRPr="00752793" w:rsidRDefault="00BA3448" w:rsidP="00866885">
            <w:pPr>
              <w:pStyle w:val="ListParagraph"/>
              <w:numPr>
                <w:ilvl w:val="0"/>
                <w:numId w:val="3"/>
              </w:numPr>
              <w:ind w:left="0" w:firstLine="0"/>
              <w:rPr>
                <w:rFonts w:ascii="GHEA Grapalat" w:eastAsia="Times New Roman" w:hAnsi="GHEA Grapalat"/>
                <w:sz w:val="24"/>
                <w:szCs w:val="24"/>
              </w:rPr>
            </w:pPr>
            <w:r w:rsidRPr="00752793">
              <w:rPr>
                <w:rFonts w:ascii="GHEA Grapalat" w:eastAsiaTheme="minorHAnsi" w:hAnsi="GHEA Grapalat"/>
                <w:sz w:val="24"/>
                <w:szCs w:val="24"/>
              </w:rPr>
              <w:t>1</w:t>
            </w:r>
          </w:p>
        </w:tc>
        <w:tc>
          <w:tcPr>
            <w:tcW w:w="4252" w:type="dxa"/>
          </w:tcPr>
          <w:p w14:paraId="0A205AE2" w14:textId="77777777" w:rsidR="00BA3448" w:rsidRPr="00752793" w:rsidRDefault="00BA3448" w:rsidP="00866885">
            <w:pPr>
              <w:ind w:firstLine="39"/>
              <w:jc w:val="left"/>
              <w:rPr>
                <w:rFonts w:ascii="GHEA Grapalat" w:hAnsi="GHEA Grapalat"/>
                <w:sz w:val="24"/>
                <w:szCs w:val="24"/>
                <w:lang w:val="en-GB"/>
              </w:rPr>
            </w:pPr>
            <w:r w:rsidRPr="00752793">
              <w:rPr>
                <w:rFonts w:ascii="GHEA Grapalat" w:hAnsi="GHEA Grapalat" w:cstheme="minorBidi"/>
                <w:lang w:val="en-GB"/>
              </w:rPr>
              <w:t xml:space="preserve">ՀՀ առողջապահության նախարարություն, ՀՀ </w:t>
            </w:r>
            <w:hyperlink r:id="rId16" w:history="1">
              <w:r w:rsidRPr="00752793">
                <w:rPr>
                  <w:rFonts w:cs="Calibri"/>
                  <w:lang w:val="en-GB"/>
                </w:rPr>
                <w:t> </w:t>
              </w:r>
              <w:r w:rsidRPr="00752793">
                <w:rPr>
                  <w:rFonts w:ascii="GHEA Grapalat" w:hAnsi="GHEA Grapalat" w:cstheme="minorBidi"/>
                  <w:lang w:val="en-GB"/>
                </w:rPr>
                <w:t>կրթության, գիտության, մշակույթի և սպորտի նախարարություն</w:t>
              </w:r>
            </w:hyperlink>
            <w:r w:rsidRPr="00752793">
              <w:rPr>
                <w:rFonts w:ascii="GHEA Grapalat" w:hAnsi="GHEA Grapalat" w:cstheme="minorBidi"/>
                <w:lang w:val="en-GB"/>
              </w:rPr>
              <w:t>, ՀՀ աշխատանքի և սոցիալական հարցերի նախարարություն</w:t>
            </w:r>
          </w:p>
        </w:tc>
        <w:tc>
          <w:tcPr>
            <w:tcW w:w="2412" w:type="dxa"/>
          </w:tcPr>
          <w:p w14:paraId="164B4C92" w14:textId="497D8453"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Առողջապահութ</w:t>
            </w:r>
            <w:r w:rsidRPr="00752793">
              <w:rPr>
                <w:rFonts w:ascii="GHEA Grapalat" w:hAnsi="GHEA Grapalat" w:cstheme="minorBidi"/>
                <w:sz w:val="24"/>
                <w:szCs w:val="24"/>
                <w:lang w:val="en-GB"/>
              </w:rPr>
              <w:softHyphen/>
            </w:r>
            <w:r w:rsidRPr="00752793">
              <w:rPr>
                <w:rFonts w:ascii="GHEA Grapalat" w:hAnsi="GHEA Grapalat" w:cstheme="minorBidi"/>
                <w:lang w:val="en-GB"/>
              </w:rPr>
              <w:t>յան բնագավառի մասնագիտական կադրային ներուժի տարածքային զարգացման համաչափություն</w:t>
            </w:r>
          </w:p>
        </w:tc>
        <w:tc>
          <w:tcPr>
            <w:tcW w:w="2268" w:type="dxa"/>
          </w:tcPr>
          <w:p w14:paraId="61C546EB" w14:textId="77777777"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հաշվեքննություն</w:t>
            </w:r>
            <w:r w:rsidRPr="00443956">
              <w:rPr>
                <w:rFonts w:ascii="GHEA Grapalat" w:hAnsi="GHEA Grapalat" w:cstheme="minorBidi"/>
                <w:vertAlign w:val="superscript"/>
                <w:lang w:val="en-GB"/>
              </w:rPr>
              <w:footnoteReference w:id="8"/>
            </w:r>
          </w:p>
        </w:tc>
        <w:tc>
          <w:tcPr>
            <w:tcW w:w="2693" w:type="dxa"/>
          </w:tcPr>
          <w:p w14:paraId="683E82F4" w14:textId="77777777"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4132C5D3" w14:textId="77777777" w:rsidR="00BA3448" w:rsidRPr="00752793" w:rsidRDefault="00BA3448"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2025-2026թթ</w:t>
            </w:r>
            <w:r w:rsidRPr="00752793">
              <w:rPr>
                <w:rFonts w:ascii="Cambria Math" w:hAnsi="Cambria Math" w:cs="Cambria Math"/>
                <w:lang w:val="en-GB"/>
              </w:rPr>
              <w:t>․</w:t>
            </w:r>
          </w:p>
        </w:tc>
      </w:tr>
      <w:tr w:rsidR="00BA3448" w:rsidRPr="00752793" w14:paraId="2F402F16" w14:textId="77777777" w:rsidTr="00866885">
        <w:trPr>
          <w:trHeight w:val="70"/>
        </w:trPr>
        <w:tc>
          <w:tcPr>
            <w:tcW w:w="566" w:type="dxa"/>
          </w:tcPr>
          <w:p w14:paraId="393191CB"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3DB2F43C"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ՀՀ էկոնոմիկայի նախարարություն</w:t>
            </w:r>
          </w:p>
        </w:tc>
        <w:tc>
          <w:tcPr>
            <w:tcW w:w="2412" w:type="dxa"/>
          </w:tcPr>
          <w:p w14:paraId="15507352"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Հողերի կոնսոլիդացումը</w:t>
            </w:r>
            <w:r w:rsidRPr="00752793">
              <w:rPr>
                <w:rFonts w:ascii="GHEA Grapalat" w:hAnsi="GHEA Grapalat" w:cstheme="minorBidi"/>
                <w:lang w:val="en-GB"/>
              </w:rPr>
              <w:br/>
            </w:r>
          </w:p>
        </w:tc>
        <w:tc>
          <w:tcPr>
            <w:tcW w:w="2268" w:type="dxa"/>
          </w:tcPr>
          <w:p w14:paraId="4A64DC3E"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1A620CFE"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3E993747" w14:textId="77777777" w:rsidR="0033452E" w:rsidRPr="00752793" w:rsidRDefault="0033452E" w:rsidP="00866885">
            <w:pPr>
              <w:ind w:firstLine="39"/>
              <w:jc w:val="left"/>
              <w:rPr>
                <w:rFonts w:ascii="GHEA Grapalat" w:hAnsi="GHEA Grapalat" w:cstheme="minorBidi"/>
                <w:sz w:val="24"/>
                <w:szCs w:val="24"/>
                <w:lang w:val="en-GB"/>
              </w:rPr>
            </w:pPr>
            <w:r w:rsidRPr="00752793">
              <w:rPr>
                <w:rFonts w:ascii="GHEA Grapalat" w:hAnsi="GHEA Grapalat" w:cstheme="minorBidi"/>
                <w:lang w:val="en-GB"/>
              </w:rPr>
              <w:t>2025-2026թթ</w:t>
            </w:r>
            <w:r w:rsidRPr="00752793">
              <w:rPr>
                <w:rFonts w:ascii="Cambria Math" w:hAnsi="Cambria Math" w:cs="Cambria Math"/>
                <w:lang w:val="en-GB"/>
              </w:rPr>
              <w:t>․</w:t>
            </w:r>
          </w:p>
        </w:tc>
      </w:tr>
      <w:tr w:rsidR="00BA3448" w:rsidRPr="00752793" w14:paraId="1D7741EA" w14:textId="77777777" w:rsidTr="00866885">
        <w:trPr>
          <w:trHeight w:val="70"/>
        </w:trPr>
        <w:tc>
          <w:tcPr>
            <w:tcW w:w="566" w:type="dxa"/>
          </w:tcPr>
          <w:p w14:paraId="3B1D1C4B"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66D33A0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էկոնոմիկայի նախարարություն</w:t>
            </w:r>
          </w:p>
          <w:p w14:paraId="5065A45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արտաքին գործերի նախարարություն</w:t>
            </w:r>
          </w:p>
        </w:tc>
        <w:tc>
          <w:tcPr>
            <w:tcW w:w="2412" w:type="dxa"/>
          </w:tcPr>
          <w:p w14:paraId="665D6A6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Տնտեսական դի</w:t>
            </w:r>
            <w:r w:rsidRPr="00752793">
              <w:rPr>
                <w:rFonts w:ascii="GHEA Grapalat" w:hAnsi="GHEA Grapalat" w:cstheme="minorBidi"/>
                <w:lang w:val="en-GB"/>
              </w:rPr>
              <w:softHyphen/>
              <w:t>վա</w:t>
            </w:r>
            <w:r w:rsidRPr="00752793">
              <w:rPr>
                <w:rFonts w:ascii="GHEA Grapalat" w:hAnsi="GHEA Grapalat" w:cstheme="minorBidi"/>
                <w:lang w:val="en-GB"/>
              </w:rPr>
              <w:softHyphen/>
              <w:t>նագիտու</w:t>
            </w:r>
            <w:r w:rsidRPr="00752793">
              <w:rPr>
                <w:rFonts w:ascii="GHEA Grapalat" w:hAnsi="GHEA Grapalat" w:cstheme="minorBidi"/>
                <w:lang w:val="en-GB"/>
              </w:rPr>
              <w:softHyphen/>
              <w:t>թ</w:t>
            </w:r>
            <w:r w:rsidRPr="00752793">
              <w:rPr>
                <w:rFonts w:ascii="GHEA Grapalat" w:hAnsi="GHEA Grapalat" w:cstheme="minorBidi"/>
                <w:lang w:val="en-GB"/>
              </w:rPr>
              <w:softHyphen/>
              <w:t>յուն</w:t>
            </w:r>
          </w:p>
        </w:tc>
        <w:tc>
          <w:tcPr>
            <w:tcW w:w="2268" w:type="dxa"/>
          </w:tcPr>
          <w:p w14:paraId="28C6D27F"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6E86220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2AD398B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7A22CAA4" w14:textId="77777777" w:rsidTr="009A1671">
        <w:trPr>
          <w:trHeight w:val="70"/>
        </w:trPr>
        <w:tc>
          <w:tcPr>
            <w:tcW w:w="566" w:type="dxa"/>
          </w:tcPr>
          <w:p w14:paraId="11929C64"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4086519D"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ֆինանսների նախարարություն,</w:t>
            </w:r>
          </w:p>
          <w:p w14:paraId="7BF5D118"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 xml:space="preserve">ՀՀ տարածքային կառավարման և ենթակառուցվածքների նախարարություն, ՀՀ էկոնոմիկայի նախարարություն, ՀՀ  կրթության, </w:t>
            </w:r>
            <w:r w:rsidRPr="00752793">
              <w:rPr>
                <w:rFonts w:ascii="GHEA Grapalat" w:hAnsi="GHEA Grapalat" w:cstheme="minorBidi"/>
                <w:lang w:val="en-GB"/>
              </w:rPr>
              <w:lastRenderedPageBreak/>
              <w:t>գիտության, մշակույթի և սպորտի նախարարություն</w:t>
            </w:r>
          </w:p>
        </w:tc>
        <w:tc>
          <w:tcPr>
            <w:tcW w:w="2412" w:type="dxa"/>
          </w:tcPr>
          <w:p w14:paraId="2063767D"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lastRenderedPageBreak/>
              <w:t>Սուբսիդիաների տրամադրման համակարգ</w:t>
            </w:r>
          </w:p>
        </w:tc>
        <w:tc>
          <w:tcPr>
            <w:tcW w:w="2268" w:type="dxa"/>
          </w:tcPr>
          <w:p w14:paraId="22C55B2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0845999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7121195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021232B2" w14:textId="77777777" w:rsidTr="00866885">
        <w:trPr>
          <w:trHeight w:val="70"/>
        </w:trPr>
        <w:tc>
          <w:tcPr>
            <w:tcW w:w="566" w:type="dxa"/>
          </w:tcPr>
          <w:p w14:paraId="26974148"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13B03F2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ֆինանսների նախարարություն</w:t>
            </w:r>
          </w:p>
        </w:tc>
        <w:tc>
          <w:tcPr>
            <w:tcW w:w="2412" w:type="dxa"/>
          </w:tcPr>
          <w:p w14:paraId="6B726B8A"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Բյուջետային վարկերի և երաշխիքների տրամա</w:t>
            </w:r>
            <w:r w:rsidRPr="00752793">
              <w:rPr>
                <w:rFonts w:ascii="GHEA Grapalat" w:hAnsi="GHEA Grapalat" w:cstheme="minorBidi"/>
                <w:lang w:val="en-GB"/>
              </w:rPr>
              <w:softHyphen/>
              <w:t>դրման համակարգ</w:t>
            </w:r>
          </w:p>
        </w:tc>
        <w:tc>
          <w:tcPr>
            <w:tcW w:w="2268" w:type="dxa"/>
          </w:tcPr>
          <w:p w14:paraId="1F9480D3" w14:textId="6252011C"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Համապատաս</w:t>
            </w:r>
            <w:r w:rsidR="008C366D" w:rsidRPr="00752793">
              <w:rPr>
                <w:rFonts w:ascii="GHEA Grapalat" w:hAnsi="GHEA Grapalat"/>
                <w:sz w:val="24"/>
                <w:szCs w:val="24"/>
                <w:lang w:val="en-GB"/>
              </w:rPr>
              <w:softHyphen/>
            </w:r>
            <w:r w:rsidRPr="00752793">
              <w:rPr>
                <w:rFonts w:ascii="GHEA Grapalat" w:hAnsi="GHEA Grapalat" w:cstheme="minorBidi"/>
                <w:lang w:val="en-GB"/>
              </w:rPr>
              <w:t>խանության հաշվեքննություն</w:t>
            </w:r>
            <w:r w:rsidRPr="00752793">
              <w:rPr>
                <w:rFonts w:ascii="GHEA Grapalat" w:hAnsi="GHEA Grapalat" w:cstheme="minorBidi"/>
                <w:vertAlign w:val="superscript"/>
                <w:lang w:val="en-GB"/>
              </w:rPr>
              <w:footnoteReference w:id="9"/>
            </w:r>
          </w:p>
        </w:tc>
        <w:tc>
          <w:tcPr>
            <w:tcW w:w="2693" w:type="dxa"/>
          </w:tcPr>
          <w:p w14:paraId="1F1EE38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Pr>
          <w:p w14:paraId="7F0AEFA7"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BA3448" w:rsidRPr="00752793" w14:paraId="12A7E52A" w14:textId="77777777" w:rsidTr="00866885">
        <w:trPr>
          <w:trHeight w:val="70"/>
        </w:trPr>
        <w:tc>
          <w:tcPr>
            <w:tcW w:w="566" w:type="dxa"/>
          </w:tcPr>
          <w:p w14:paraId="404CCD5D"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5D6F301E" w14:textId="71126A93" w:rsidR="0033452E" w:rsidRPr="00752793" w:rsidRDefault="00BE28EF" w:rsidP="00866885">
            <w:pPr>
              <w:ind w:firstLine="0"/>
              <w:jc w:val="left"/>
              <w:rPr>
                <w:rFonts w:ascii="GHEA Grapalat" w:hAnsi="GHEA Grapalat"/>
                <w:sz w:val="24"/>
                <w:szCs w:val="24"/>
                <w:lang w:val="en-GB"/>
              </w:rPr>
            </w:pPr>
            <w:r w:rsidRPr="00752793">
              <w:rPr>
                <w:rFonts w:ascii="GHEA Grapalat" w:hAnsi="GHEA Grapalat"/>
                <w:szCs w:val="24"/>
                <w:lang w:val="en-US"/>
              </w:rPr>
              <w:t xml:space="preserve">Հանրային իշխանության մարմիններ և </w:t>
            </w:r>
            <w:r w:rsidRPr="00752793">
              <w:rPr>
                <w:rFonts w:ascii="GHEA Grapalat" w:hAnsi="GHEA Grapalat"/>
                <w:szCs w:val="24"/>
              </w:rPr>
              <w:t>դրանց</w:t>
            </w:r>
            <w:r w:rsidRPr="00752793">
              <w:rPr>
                <w:rFonts w:ascii="GHEA Grapalat" w:hAnsi="GHEA Grapalat"/>
                <w:szCs w:val="24"/>
                <w:lang w:val="en-US"/>
              </w:rPr>
              <w:t xml:space="preserve"> հիմնադրած՝ պետական </w:t>
            </w:r>
            <w:r w:rsidRPr="00752793">
              <w:rPr>
                <w:rFonts w:ascii="GHEA Grapalat" w:hAnsi="GHEA Grapalat"/>
                <w:szCs w:val="24"/>
              </w:rPr>
              <w:t xml:space="preserve">և համայնքային </w:t>
            </w:r>
            <w:r w:rsidRPr="00752793">
              <w:rPr>
                <w:rFonts w:ascii="GHEA Grapalat" w:hAnsi="GHEA Grapalat"/>
                <w:szCs w:val="24"/>
                <w:lang w:val="en-US"/>
              </w:rPr>
              <w:t>գործառույթներով օժտված այլ իրավաբանական անձինք</w:t>
            </w:r>
          </w:p>
        </w:tc>
        <w:tc>
          <w:tcPr>
            <w:tcW w:w="2412" w:type="dxa"/>
          </w:tcPr>
          <w:p w14:paraId="0D95C5BE" w14:textId="25F1B28E"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Տրանսպորտային միջոցների շահագործ</w:t>
            </w:r>
            <w:r w:rsidR="008C366D" w:rsidRPr="00752793">
              <w:rPr>
                <w:rFonts w:ascii="GHEA Grapalat" w:hAnsi="GHEA Grapalat"/>
                <w:sz w:val="24"/>
                <w:szCs w:val="24"/>
                <w:lang w:val="en-GB"/>
              </w:rPr>
              <w:t>ում</w:t>
            </w:r>
          </w:p>
        </w:tc>
        <w:tc>
          <w:tcPr>
            <w:tcW w:w="2268" w:type="dxa"/>
          </w:tcPr>
          <w:p w14:paraId="45CFD181" w14:textId="4E77CA09"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Համապատաս</w:t>
            </w:r>
            <w:r w:rsidR="008C366D" w:rsidRPr="00752793">
              <w:rPr>
                <w:rFonts w:ascii="GHEA Grapalat" w:hAnsi="GHEA Grapalat"/>
                <w:sz w:val="24"/>
                <w:szCs w:val="24"/>
                <w:lang w:val="en-GB"/>
              </w:rPr>
              <w:softHyphen/>
            </w:r>
            <w:r w:rsidRPr="00752793">
              <w:rPr>
                <w:rFonts w:ascii="GHEA Grapalat" w:hAnsi="GHEA Grapalat" w:cstheme="minorBidi"/>
                <w:lang w:val="en-GB"/>
              </w:rPr>
              <w:t>խանության հաշվեքննություն</w:t>
            </w:r>
          </w:p>
        </w:tc>
        <w:tc>
          <w:tcPr>
            <w:tcW w:w="2693" w:type="dxa"/>
          </w:tcPr>
          <w:p w14:paraId="50A526A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Pr>
          <w:p w14:paraId="6AC8472E"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2025-2026թթ.</w:t>
            </w:r>
          </w:p>
        </w:tc>
      </w:tr>
      <w:tr w:rsidR="00BA3448" w:rsidRPr="00752793" w14:paraId="63AC08E5" w14:textId="77777777" w:rsidTr="00866885">
        <w:trPr>
          <w:trHeight w:val="442"/>
        </w:trPr>
        <w:tc>
          <w:tcPr>
            <w:tcW w:w="566" w:type="dxa"/>
          </w:tcPr>
          <w:p w14:paraId="0DED23CC"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5D830C65"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Երևանի քաղաքապետարան</w:t>
            </w:r>
          </w:p>
        </w:tc>
        <w:tc>
          <w:tcPr>
            <w:tcW w:w="2412" w:type="dxa"/>
          </w:tcPr>
          <w:p w14:paraId="077F5CE1"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Խելացի քաղաք ռազմավարական ծրագրի կատարում</w:t>
            </w:r>
          </w:p>
        </w:tc>
        <w:tc>
          <w:tcPr>
            <w:tcW w:w="2268" w:type="dxa"/>
          </w:tcPr>
          <w:p w14:paraId="3C1AE394"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6E99755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10366205"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7495FDAA" w14:textId="77777777" w:rsidTr="00866885">
        <w:trPr>
          <w:trHeight w:val="442"/>
        </w:trPr>
        <w:tc>
          <w:tcPr>
            <w:tcW w:w="566" w:type="dxa"/>
          </w:tcPr>
          <w:p w14:paraId="6EE5B339"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7D198A43"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մարզերի համայնքապետարաններ</w:t>
            </w:r>
          </w:p>
        </w:tc>
        <w:tc>
          <w:tcPr>
            <w:tcW w:w="2412" w:type="dxa"/>
          </w:tcPr>
          <w:p w14:paraId="57DA3695"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Համայնքային սեփականություն հանդիսացող հողամասերի օտարում և վարձակալություն</w:t>
            </w:r>
          </w:p>
        </w:tc>
        <w:tc>
          <w:tcPr>
            <w:tcW w:w="2268" w:type="dxa"/>
          </w:tcPr>
          <w:p w14:paraId="696CD0E9"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հաշվեքննություն</w:t>
            </w:r>
          </w:p>
        </w:tc>
        <w:tc>
          <w:tcPr>
            <w:tcW w:w="2693" w:type="dxa"/>
          </w:tcPr>
          <w:p w14:paraId="0E97723C"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Կատարողականի հաշվեքննության վարչություն</w:t>
            </w:r>
          </w:p>
        </w:tc>
        <w:tc>
          <w:tcPr>
            <w:tcW w:w="1843" w:type="dxa"/>
          </w:tcPr>
          <w:p w14:paraId="6306176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2026-2027թթ.</w:t>
            </w:r>
          </w:p>
        </w:tc>
      </w:tr>
      <w:tr w:rsidR="00BA3448" w:rsidRPr="00752793" w14:paraId="23F53DFB" w14:textId="77777777" w:rsidTr="00866885">
        <w:trPr>
          <w:trHeight w:val="70"/>
        </w:trPr>
        <w:tc>
          <w:tcPr>
            <w:tcW w:w="566" w:type="dxa"/>
          </w:tcPr>
          <w:p w14:paraId="68AF2285"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Pr>
          <w:p w14:paraId="21CC2980"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ՀՀ մարզերի համայնքապետարաններ</w:t>
            </w:r>
          </w:p>
        </w:tc>
        <w:tc>
          <w:tcPr>
            <w:tcW w:w="2412" w:type="dxa"/>
          </w:tcPr>
          <w:p w14:paraId="3060DD88" w14:textId="56952EBF" w:rsidR="0033452E" w:rsidRPr="00752793" w:rsidRDefault="008C366D" w:rsidP="00866885">
            <w:pPr>
              <w:ind w:firstLine="0"/>
              <w:jc w:val="left"/>
              <w:rPr>
                <w:rFonts w:ascii="GHEA Grapalat" w:hAnsi="GHEA Grapalat"/>
                <w:sz w:val="24"/>
                <w:szCs w:val="24"/>
                <w:lang w:val="en-GB"/>
              </w:rPr>
            </w:pPr>
            <w:r w:rsidRPr="00752793">
              <w:rPr>
                <w:rFonts w:ascii="GHEA Grapalat" w:hAnsi="GHEA Grapalat"/>
                <w:sz w:val="24"/>
                <w:szCs w:val="24"/>
                <w:lang w:val="en-GB"/>
              </w:rPr>
              <w:t>Գ</w:t>
            </w:r>
            <w:r w:rsidR="0033452E" w:rsidRPr="00752793">
              <w:rPr>
                <w:rFonts w:ascii="GHEA Grapalat" w:hAnsi="GHEA Grapalat" w:cstheme="minorBidi"/>
                <w:lang w:val="en-GB"/>
              </w:rPr>
              <w:t>նումների գործընթաց</w:t>
            </w:r>
          </w:p>
        </w:tc>
        <w:tc>
          <w:tcPr>
            <w:tcW w:w="2268" w:type="dxa"/>
          </w:tcPr>
          <w:p w14:paraId="0F1F6F92"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Համապատասխանության հաշվեքննություն</w:t>
            </w:r>
          </w:p>
        </w:tc>
        <w:tc>
          <w:tcPr>
            <w:tcW w:w="2693" w:type="dxa"/>
          </w:tcPr>
          <w:p w14:paraId="4407DA41"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Pr>
          <w:p w14:paraId="7C4CBB83"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BA3448" w:rsidRPr="00752793" w14:paraId="39E6E374" w14:textId="77777777" w:rsidTr="00866885">
        <w:trPr>
          <w:trHeight w:val="70"/>
        </w:trPr>
        <w:tc>
          <w:tcPr>
            <w:tcW w:w="566" w:type="dxa"/>
            <w:tcBorders>
              <w:bottom w:val="single" w:sz="4" w:space="0" w:color="1F4E79"/>
            </w:tcBorders>
          </w:tcPr>
          <w:p w14:paraId="113C6D4B" w14:textId="77777777" w:rsidR="0033452E" w:rsidRPr="00752793" w:rsidRDefault="0033452E" w:rsidP="00866885">
            <w:pPr>
              <w:pStyle w:val="ListParagraph"/>
              <w:numPr>
                <w:ilvl w:val="0"/>
                <w:numId w:val="3"/>
              </w:numPr>
              <w:ind w:left="0" w:firstLine="0"/>
              <w:rPr>
                <w:rFonts w:ascii="GHEA Grapalat" w:eastAsiaTheme="minorHAnsi" w:hAnsi="GHEA Grapalat"/>
                <w:sz w:val="24"/>
                <w:szCs w:val="24"/>
              </w:rPr>
            </w:pPr>
          </w:p>
        </w:tc>
        <w:tc>
          <w:tcPr>
            <w:tcW w:w="4252" w:type="dxa"/>
            <w:tcBorders>
              <w:bottom w:val="single" w:sz="4" w:space="0" w:color="1F4E79"/>
            </w:tcBorders>
          </w:tcPr>
          <w:p w14:paraId="56398526"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Ապարանի համայնքապետարան</w:t>
            </w:r>
          </w:p>
        </w:tc>
        <w:tc>
          <w:tcPr>
            <w:tcW w:w="2412" w:type="dxa"/>
            <w:tcBorders>
              <w:bottom w:val="single" w:sz="4" w:space="0" w:color="1F4E79"/>
            </w:tcBorders>
          </w:tcPr>
          <w:p w14:paraId="77B5F7C4" w14:textId="63DE6346"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Ֆինանսատնտե</w:t>
            </w:r>
            <w:r w:rsidR="008C366D" w:rsidRPr="00752793">
              <w:rPr>
                <w:rFonts w:ascii="GHEA Grapalat" w:hAnsi="GHEA Grapalat"/>
                <w:sz w:val="24"/>
                <w:szCs w:val="24"/>
                <w:lang w:val="en-GB"/>
              </w:rPr>
              <w:softHyphen/>
            </w:r>
            <w:r w:rsidRPr="00752793">
              <w:rPr>
                <w:rFonts w:ascii="GHEA Grapalat" w:hAnsi="GHEA Grapalat" w:cstheme="minorBidi"/>
                <w:lang w:val="en-GB"/>
              </w:rPr>
              <w:t>սական գործունեություն</w:t>
            </w:r>
          </w:p>
        </w:tc>
        <w:tc>
          <w:tcPr>
            <w:tcW w:w="2268" w:type="dxa"/>
            <w:tcBorders>
              <w:bottom w:val="single" w:sz="4" w:space="0" w:color="1F4E79"/>
            </w:tcBorders>
          </w:tcPr>
          <w:p w14:paraId="1AEF08CD"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հաշվեքննություն</w:t>
            </w:r>
          </w:p>
        </w:tc>
        <w:tc>
          <w:tcPr>
            <w:tcW w:w="2693" w:type="dxa"/>
            <w:tcBorders>
              <w:bottom w:val="single" w:sz="4" w:space="0" w:color="1F4E79"/>
            </w:tcBorders>
          </w:tcPr>
          <w:p w14:paraId="5F3157D8"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Ֆինանսական և համապատասխանության հաշվեքննության վարչություն</w:t>
            </w:r>
          </w:p>
        </w:tc>
        <w:tc>
          <w:tcPr>
            <w:tcW w:w="1843" w:type="dxa"/>
            <w:tcBorders>
              <w:bottom w:val="single" w:sz="4" w:space="0" w:color="1F4E79"/>
            </w:tcBorders>
          </w:tcPr>
          <w:p w14:paraId="0303DC3A" w14:textId="77777777" w:rsidR="0033452E" w:rsidRPr="00752793" w:rsidRDefault="0033452E" w:rsidP="00866885">
            <w:pPr>
              <w:ind w:firstLine="0"/>
              <w:jc w:val="left"/>
              <w:rPr>
                <w:rFonts w:ascii="GHEA Grapalat" w:hAnsi="GHEA Grapalat"/>
                <w:sz w:val="24"/>
                <w:szCs w:val="24"/>
                <w:lang w:val="en-GB"/>
              </w:rPr>
            </w:pPr>
            <w:r w:rsidRPr="00752793">
              <w:rPr>
                <w:rFonts w:ascii="GHEA Grapalat" w:hAnsi="GHEA Grapalat" w:cstheme="minorBidi"/>
                <w:lang w:val="en-GB"/>
              </w:rPr>
              <w:t>2026թ.</w:t>
            </w:r>
          </w:p>
        </w:tc>
      </w:tr>
      <w:tr w:rsidR="0033452E" w:rsidRPr="00752793" w14:paraId="0BC66F30"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534"/>
          <w:tblHeader/>
        </w:trPr>
        <w:tc>
          <w:tcPr>
            <w:tcW w:w="14034" w:type="dxa"/>
            <w:gridSpan w:val="6"/>
            <w:tcBorders>
              <w:left w:val="nil"/>
              <w:right w:val="nil"/>
            </w:tcBorders>
            <w:shd w:val="clear" w:color="auto" w:fill="auto"/>
            <w:vAlign w:val="center"/>
          </w:tcPr>
          <w:p w14:paraId="320F308D" w14:textId="77777777" w:rsidR="0033452E" w:rsidRPr="00752793" w:rsidRDefault="0033452E" w:rsidP="00866885">
            <w:pPr>
              <w:keepNext/>
              <w:keepLines/>
              <w:spacing w:before="480" w:after="360"/>
              <w:ind w:firstLine="0"/>
              <w:jc w:val="left"/>
              <w:rPr>
                <w:rFonts w:ascii="GHEA Grapalat" w:hAnsi="GHEA Grapalat" w:cs="Helvetica"/>
                <w:sz w:val="24"/>
                <w:szCs w:val="24"/>
              </w:rPr>
            </w:pPr>
            <w:r w:rsidRPr="00443956">
              <w:rPr>
                <w:rFonts w:ascii="GHEA Grapalat" w:hAnsi="GHEA Grapalat"/>
                <w:b/>
                <w:bCs/>
                <w:color w:val="806000" w:themeColor="accent4" w:themeShade="80"/>
              </w:rPr>
              <w:t>2-ՐԴ ԲԱԺԻՆ - ՄԻՋԱԶԳԱՅԻՆ ՀԱՄԱՁԱՅՆԱԳՐԵՐ ԵՎ ՍՏԱՆՁՆԱԾ ՊԱՐՏԱՎՈՐՈՒԹՅՈՒՆՆԵՐԻ ԿԱՏԱՐՄԱՆՆ ՈՒՂՂՎԱԾ ՄԻՋՈՑԱՌՈՒՄՆԵՐ</w:t>
            </w:r>
          </w:p>
        </w:tc>
      </w:tr>
      <w:tr w:rsidR="007448E7" w:rsidRPr="00752793" w14:paraId="5D88128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534"/>
          <w:tblHeader/>
        </w:trPr>
        <w:tc>
          <w:tcPr>
            <w:tcW w:w="566" w:type="dxa"/>
            <w:shd w:val="clear" w:color="auto" w:fill="D9E2F3" w:themeFill="accent5" w:themeFillTint="33"/>
            <w:vAlign w:val="center"/>
          </w:tcPr>
          <w:p w14:paraId="56A42F5F" w14:textId="77777777" w:rsidR="0033452E" w:rsidRPr="00752793" w:rsidRDefault="0033452E" w:rsidP="00866885">
            <w:pPr>
              <w:spacing w:line="240" w:lineRule="auto"/>
              <w:ind w:firstLine="0"/>
              <w:jc w:val="center"/>
              <w:rPr>
                <w:rFonts w:ascii="GHEA Grapalat" w:hAnsi="GHEA Grapalat"/>
                <w:b/>
                <w:bCs/>
                <w:sz w:val="24"/>
                <w:szCs w:val="24"/>
              </w:rPr>
            </w:pPr>
            <w:r w:rsidRPr="00752793">
              <w:rPr>
                <w:rFonts w:ascii="GHEA Grapalat" w:hAnsi="GHEA Grapalat" w:cstheme="minorBidi"/>
                <w:b/>
                <w:bCs/>
              </w:rPr>
              <w:t>N</w:t>
            </w:r>
          </w:p>
        </w:tc>
        <w:tc>
          <w:tcPr>
            <w:tcW w:w="8932" w:type="dxa"/>
            <w:gridSpan w:val="3"/>
            <w:shd w:val="clear" w:color="auto" w:fill="D9E2F3" w:themeFill="accent5" w:themeFillTint="33"/>
            <w:vAlign w:val="center"/>
          </w:tcPr>
          <w:p w14:paraId="73BA2C6C" w14:textId="77777777" w:rsidR="0033452E" w:rsidRPr="00752793" w:rsidRDefault="0033452E" w:rsidP="00866885">
            <w:pPr>
              <w:spacing w:line="240" w:lineRule="auto"/>
              <w:ind w:firstLine="0"/>
              <w:jc w:val="center"/>
              <w:rPr>
                <w:rFonts w:ascii="GHEA Grapalat" w:hAnsi="GHEA Grapalat"/>
                <w:b/>
                <w:bCs/>
                <w:sz w:val="24"/>
                <w:szCs w:val="24"/>
              </w:rPr>
            </w:pPr>
            <w:r w:rsidRPr="00752793">
              <w:rPr>
                <w:rFonts w:ascii="GHEA Grapalat" w:hAnsi="GHEA Grapalat" w:cstheme="minorBidi"/>
                <w:b/>
                <w:bCs/>
              </w:rPr>
              <w:t>ԱՆՎԱՆՈՒՄԸ</w:t>
            </w:r>
          </w:p>
        </w:tc>
        <w:tc>
          <w:tcPr>
            <w:tcW w:w="2693" w:type="dxa"/>
            <w:shd w:val="clear" w:color="auto" w:fill="D9E2F3" w:themeFill="accent5" w:themeFillTint="33"/>
            <w:vAlign w:val="center"/>
          </w:tcPr>
          <w:p w14:paraId="48470E11" w14:textId="77777777" w:rsidR="0033452E" w:rsidRPr="00752793" w:rsidRDefault="0033452E" w:rsidP="00866885">
            <w:pPr>
              <w:spacing w:line="240" w:lineRule="auto"/>
              <w:ind w:firstLine="0"/>
              <w:jc w:val="center"/>
              <w:rPr>
                <w:rFonts w:ascii="GHEA Grapalat" w:hAnsi="GHEA Grapalat"/>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68F36C21" w14:textId="77777777" w:rsidR="0033452E" w:rsidRPr="00752793" w:rsidRDefault="0033452E" w:rsidP="00866885">
            <w:pPr>
              <w:spacing w:line="240" w:lineRule="auto"/>
              <w:ind w:firstLine="0"/>
              <w:jc w:val="center"/>
              <w:rPr>
                <w:rFonts w:ascii="GHEA Grapalat" w:hAnsi="GHEA Grapalat"/>
                <w:b/>
                <w:bCs/>
                <w:sz w:val="24"/>
                <w:szCs w:val="24"/>
              </w:rPr>
            </w:pPr>
            <w:r w:rsidRPr="00752793">
              <w:rPr>
                <w:rFonts w:ascii="GHEA Grapalat" w:hAnsi="GHEA Grapalat" w:cstheme="minorBidi"/>
                <w:b/>
                <w:bCs/>
              </w:rPr>
              <w:t>ԻՐԱԿԱՆԱՑ-ՄԱՆ ԺԱՄԿԵՏԸ</w:t>
            </w:r>
          </w:p>
        </w:tc>
      </w:tr>
      <w:tr w:rsidR="00BA3448" w:rsidRPr="00752793" w14:paraId="714243E3"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Borders>
              <w:bottom w:val="single" w:sz="4" w:space="0" w:color="1F4E79"/>
            </w:tcBorders>
          </w:tcPr>
          <w:p w14:paraId="483C2F32" w14:textId="77777777" w:rsidR="0033452E" w:rsidRPr="00752793" w:rsidRDefault="0033452E" w:rsidP="00866885">
            <w:pPr>
              <w:spacing w:line="240" w:lineRule="auto"/>
              <w:ind w:firstLine="0"/>
              <w:rPr>
                <w:rFonts w:ascii="GHEA Grapalat" w:hAnsi="GHEA Grapalat"/>
                <w:sz w:val="24"/>
                <w:szCs w:val="24"/>
              </w:rPr>
            </w:pPr>
            <w:r w:rsidRPr="00752793">
              <w:rPr>
                <w:rFonts w:ascii="GHEA Grapalat" w:hAnsi="GHEA Grapalat" w:cstheme="minorBidi"/>
              </w:rPr>
              <w:t>1</w:t>
            </w:r>
            <w:r w:rsidRPr="00752793">
              <w:rPr>
                <w:rFonts w:ascii="Cambria Math" w:hAnsi="Cambria Math" w:cs="Cambria Math"/>
              </w:rPr>
              <w:t>․</w:t>
            </w:r>
          </w:p>
        </w:tc>
        <w:tc>
          <w:tcPr>
            <w:tcW w:w="8932" w:type="dxa"/>
            <w:gridSpan w:val="3"/>
            <w:tcBorders>
              <w:bottom w:val="single" w:sz="4" w:space="0" w:color="1F4E79"/>
            </w:tcBorders>
            <w:vAlign w:val="center"/>
          </w:tcPr>
          <w:p w14:paraId="47EB5CB1" w14:textId="77777777" w:rsidR="0033452E" w:rsidRPr="00752793" w:rsidRDefault="0033452E" w:rsidP="00866885">
            <w:pPr>
              <w:ind w:firstLine="0"/>
              <w:rPr>
                <w:rFonts w:ascii="GHEA Grapalat" w:hAnsi="GHEA Grapalat"/>
                <w:sz w:val="24"/>
                <w:szCs w:val="24"/>
              </w:rPr>
            </w:pPr>
            <w:r w:rsidRPr="00752793">
              <w:rPr>
                <w:rFonts w:ascii="GHEA Grapalat" w:hAnsi="GHEA Grapalat" w:cstheme="minorBidi"/>
              </w:rPr>
              <w:t>Եվրասիական տնտեսական միության (ԵԱՏՄ) մարմիններում բյուջետային միջոցների ձևավորման, կառավարման ու տնօրինման, գույքի և այլ ակտիվների օգտագործման վերաբերյալ համատեղ հսկողական (աուդիտի) միջոցառումներ:</w:t>
            </w:r>
          </w:p>
        </w:tc>
        <w:tc>
          <w:tcPr>
            <w:tcW w:w="2693" w:type="dxa"/>
            <w:tcBorders>
              <w:bottom w:val="single" w:sz="4" w:space="0" w:color="1F4E79"/>
            </w:tcBorders>
          </w:tcPr>
          <w:p w14:paraId="2B4FCFBD" w14:textId="66EC042C" w:rsidR="0033452E" w:rsidRPr="00752793" w:rsidRDefault="0033452E" w:rsidP="00866885">
            <w:pPr>
              <w:ind w:firstLine="0"/>
              <w:rPr>
                <w:rFonts w:ascii="GHEA Grapalat" w:hAnsi="GHEA Grapalat"/>
                <w:sz w:val="24"/>
                <w:szCs w:val="24"/>
              </w:rPr>
            </w:pPr>
            <w:r w:rsidRPr="00752793">
              <w:rPr>
                <w:rFonts w:ascii="GHEA Grapalat" w:hAnsi="GHEA Grapalat" w:cstheme="minorBidi"/>
              </w:rPr>
              <w:t>Հաղորդակցության և արարողակարգի բաժին</w:t>
            </w:r>
          </w:p>
        </w:tc>
        <w:tc>
          <w:tcPr>
            <w:tcW w:w="1843" w:type="dxa"/>
            <w:tcBorders>
              <w:bottom w:val="single" w:sz="4" w:space="0" w:color="1F4E79"/>
            </w:tcBorders>
          </w:tcPr>
          <w:p w14:paraId="2FE14C8B" w14:textId="77777777" w:rsidR="0033452E" w:rsidRPr="00752793" w:rsidRDefault="0033452E" w:rsidP="00866885">
            <w:pPr>
              <w:ind w:firstLine="0"/>
              <w:rPr>
                <w:rFonts w:ascii="GHEA Grapalat" w:hAnsi="GHEA Grapalat"/>
                <w:sz w:val="24"/>
                <w:szCs w:val="24"/>
              </w:rPr>
            </w:pPr>
            <w:r w:rsidRPr="00752793">
              <w:rPr>
                <w:rFonts w:ascii="GHEA Grapalat" w:hAnsi="GHEA Grapalat" w:cstheme="minorBidi"/>
              </w:rPr>
              <w:t>2026թ.</w:t>
            </w:r>
          </w:p>
        </w:tc>
      </w:tr>
      <w:tr w:rsidR="00BA3448" w:rsidRPr="00752793" w14:paraId="706B74A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Borders>
              <w:bottom w:val="single" w:sz="4" w:space="0" w:color="1F4E79"/>
            </w:tcBorders>
          </w:tcPr>
          <w:p w14:paraId="1633620A" w14:textId="77777777" w:rsidR="0033452E" w:rsidRPr="00752793" w:rsidRDefault="0033452E" w:rsidP="00866885">
            <w:pPr>
              <w:spacing w:line="240" w:lineRule="auto"/>
              <w:ind w:firstLine="0"/>
              <w:rPr>
                <w:rFonts w:ascii="GHEA Grapalat" w:hAnsi="GHEA Grapalat" w:cstheme="minorBidi"/>
                <w:sz w:val="24"/>
                <w:szCs w:val="24"/>
              </w:rPr>
            </w:pPr>
            <w:r w:rsidRPr="00752793">
              <w:rPr>
                <w:rFonts w:ascii="GHEA Grapalat" w:hAnsi="GHEA Grapalat" w:cstheme="minorBidi"/>
              </w:rPr>
              <w:t>2.</w:t>
            </w:r>
          </w:p>
        </w:tc>
        <w:tc>
          <w:tcPr>
            <w:tcW w:w="8932" w:type="dxa"/>
            <w:gridSpan w:val="3"/>
            <w:tcBorders>
              <w:bottom w:val="single" w:sz="4" w:space="0" w:color="1F4E79"/>
            </w:tcBorders>
            <w:vAlign w:val="center"/>
          </w:tcPr>
          <w:p w14:paraId="4C44D5CD" w14:textId="77777777" w:rsidR="0033452E" w:rsidRPr="00752793" w:rsidRDefault="0033452E" w:rsidP="00866885">
            <w:pPr>
              <w:spacing w:line="240" w:lineRule="auto"/>
              <w:ind w:firstLine="0"/>
              <w:rPr>
                <w:rFonts w:ascii="GHEA Grapalat" w:hAnsi="GHEA Grapalat" w:cstheme="minorBidi"/>
                <w:sz w:val="24"/>
                <w:szCs w:val="24"/>
              </w:rPr>
            </w:pPr>
            <w:r w:rsidRPr="00752793">
              <w:rPr>
                <w:rFonts w:ascii="GHEA Grapalat" w:hAnsi="GHEA Grapalat" w:cstheme="minorBidi"/>
              </w:rPr>
              <w:t>ԵԱՏՄ անդամ պետության բյուջեի կատարման դրամարկղային սպասարկում իրականացնող լիազոր մարմիններում ներմուծման մաքսատուրքերի /համարժեք այլ տուրքերի, հարկերի և հավաքագրումների/ գումարների հաշվեգրման և բաշխման, դրանք, որպես եկամուտ, բյուջեներ փոխանցման վերաբերյալ համատեղ հսկողական միջոցառումներ:</w:t>
            </w:r>
          </w:p>
        </w:tc>
        <w:tc>
          <w:tcPr>
            <w:tcW w:w="2693" w:type="dxa"/>
            <w:tcBorders>
              <w:bottom w:val="single" w:sz="4" w:space="0" w:color="1F4E79"/>
            </w:tcBorders>
          </w:tcPr>
          <w:p w14:paraId="07CAEDD8" w14:textId="0768FF4E" w:rsidR="0033452E" w:rsidRPr="00752793" w:rsidRDefault="0033452E" w:rsidP="00866885">
            <w:pPr>
              <w:spacing w:line="240" w:lineRule="auto"/>
              <w:ind w:firstLine="0"/>
              <w:rPr>
                <w:rFonts w:ascii="GHEA Grapalat" w:hAnsi="GHEA Grapalat" w:cstheme="minorBidi"/>
                <w:sz w:val="24"/>
                <w:szCs w:val="24"/>
              </w:rPr>
            </w:pPr>
            <w:r w:rsidRPr="00752793">
              <w:rPr>
                <w:rFonts w:ascii="GHEA Grapalat" w:hAnsi="GHEA Grapalat" w:cstheme="minorBidi"/>
              </w:rPr>
              <w:t>Հաղորդակցության և արարողակարգի բաժին</w:t>
            </w:r>
          </w:p>
        </w:tc>
        <w:tc>
          <w:tcPr>
            <w:tcW w:w="1843" w:type="dxa"/>
            <w:tcBorders>
              <w:bottom w:val="single" w:sz="4" w:space="0" w:color="1F4E79"/>
            </w:tcBorders>
          </w:tcPr>
          <w:p w14:paraId="0F133F2E" w14:textId="77777777" w:rsidR="0033452E" w:rsidRPr="00752793" w:rsidRDefault="0033452E" w:rsidP="00866885">
            <w:pPr>
              <w:spacing w:line="240" w:lineRule="auto"/>
              <w:ind w:firstLine="0"/>
              <w:rPr>
                <w:rFonts w:ascii="GHEA Grapalat" w:hAnsi="GHEA Grapalat" w:cstheme="minorBidi"/>
                <w:sz w:val="24"/>
                <w:szCs w:val="24"/>
              </w:rPr>
            </w:pPr>
            <w:r w:rsidRPr="00752793">
              <w:rPr>
                <w:rFonts w:ascii="GHEA Grapalat" w:hAnsi="GHEA Grapalat" w:cstheme="minorBidi"/>
              </w:rPr>
              <w:t>2026թ.</w:t>
            </w:r>
          </w:p>
        </w:tc>
      </w:tr>
      <w:tr w:rsidR="0033452E" w:rsidRPr="00752793" w14:paraId="524169AC"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cantSplit/>
          <w:trHeight w:val="534"/>
          <w:tblHeader/>
        </w:trPr>
        <w:tc>
          <w:tcPr>
            <w:tcW w:w="14034" w:type="dxa"/>
            <w:gridSpan w:val="6"/>
            <w:tcBorders>
              <w:top w:val="single" w:sz="4" w:space="0" w:color="1F4E79"/>
              <w:left w:val="nil"/>
              <w:right w:val="nil"/>
            </w:tcBorders>
            <w:shd w:val="clear" w:color="auto" w:fill="auto"/>
            <w:vAlign w:val="center"/>
          </w:tcPr>
          <w:p w14:paraId="2A27C1C5" w14:textId="77777777" w:rsidR="0033452E" w:rsidRPr="00443956" w:rsidRDefault="0033452E" w:rsidP="00866885">
            <w:pPr>
              <w:keepNext/>
              <w:keepLines/>
              <w:spacing w:before="480" w:after="360"/>
              <w:ind w:firstLine="0"/>
              <w:jc w:val="left"/>
              <w:rPr>
                <w:rFonts w:ascii="GHEA Grapalat" w:hAnsi="GHEA Grapalat"/>
                <w:b/>
                <w:bCs/>
                <w:color w:val="806000" w:themeColor="accent4" w:themeShade="80"/>
                <w:sz w:val="24"/>
                <w:szCs w:val="24"/>
              </w:rPr>
            </w:pPr>
            <w:r w:rsidRPr="00443956">
              <w:rPr>
                <w:rFonts w:ascii="GHEA Grapalat" w:hAnsi="GHEA Grapalat"/>
                <w:b/>
                <w:bCs/>
                <w:color w:val="806000" w:themeColor="accent4" w:themeShade="80"/>
              </w:rPr>
              <w:t>3-ՐԴ ԲԱԺԻՆ - ՀԱՇՎԵՔՆՆԻՉ ՊԱԼԱՏԻ ԶԱՐԳԱՑՄԱՆ ԾՐԱԳՐԵՐՈՎ ՆԱԽԱՏԵՍՎԱԾ ՄԻՋՈՑԱՌՈՒՄՆԵՐ</w:t>
            </w:r>
          </w:p>
        </w:tc>
      </w:tr>
      <w:tr w:rsidR="00BA3448" w:rsidRPr="00752793" w14:paraId="5E30EA6A"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cantSplit/>
          <w:trHeight w:val="600"/>
          <w:tblHeader/>
        </w:trPr>
        <w:tc>
          <w:tcPr>
            <w:tcW w:w="566" w:type="dxa"/>
            <w:shd w:val="clear" w:color="auto" w:fill="D9E2F3" w:themeFill="accent5" w:themeFillTint="33"/>
            <w:vAlign w:val="center"/>
          </w:tcPr>
          <w:p w14:paraId="327FD3C9" w14:textId="77777777" w:rsidR="0033452E" w:rsidRPr="00752793" w:rsidRDefault="0033452E" w:rsidP="00866885">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N</w:t>
            </w:r>
          </w:p>
        </w:tc>
        <w:tc>
          <w:tcPr>
            <w:tcW w:w="8932" w:type="dxa"/>
            <w:gridSpan w:val="3"/>
            <w:shd w:val="clear" w:color="auto" w:fill="D9E2F3" w:themeFill="accent5" w:themeFillTint="33"/>
            <w:vAlign w:val="center"/>
          </w:tcPr>
          <w:p w14:paraId="6CEC99DD" w14:textId="77777777" w:rsidR="0033452E" w:rsidRPr="00752793" w:rsidRDefault="0033452E" w:rsidP="00866885">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ԱՆՎԱՆՈՒՄԸ</w:t>
            </w:r>
          </w:p>
        </w:tc>
        <w:tc>
          <w:tcPr>
            <w:tcW w:w="2693" w:type="dxa"/>
            <w:shd w:val="clear" w:color="auto" w:fill="D9E2F3" w:themeFill="accent5" w:themeFillTint="33"/>
            <w:vAlign w:val="center"/>
          </w:tcPr>
          <w:p w14:paraId="4BD796F0" w14:textId="77777777" w:rsidR="0033452E" w:rsidRPr="00752793" w:rsidRDefault="0033452E" w:rsidP="00866885">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ՊԱՏԱՍԽԱՆԱՏՈՒ ՍՏՈՐԱԲԱԺԱՆՈՒՄԸ</w:t>
            </w:r>
          </w:p>
        </w:tc>
        <w:tc>
          <w:tcPr>
            <w:tcW w:w="1843" w:type="dxa"/>
            <w:shd w:val="clear" w:color="auto" w:fill="D9E2F3" w:themeFill="accent5" w:themeFillTint="33"/>
            <w:vAlign w:val="center"/>
          </w:tcPr>
          <w:p w14:paraId="28C66582" w14:textId="77777777" w:rsidR="0033452E" w:rsidRPr="00752793" w:rsidRDefault="0033452E" w:rsidP="00866885">
            <w:pPr>
              <w:spacing w:line="240" w:lineRule="auto"/>
              <w:ind w:firstLine="0"/>
              <w:jc w:val="center"/>
              <w:rPr>
                <w:rFonts w:ascii="GHEA Grapalat" w:hAnsi="GHEA Grapalat" w:cstheme="minorBidi"/>
                <w:b/>
                <w:bCs/>
                <w:sz w:val="24"/>
                <w:szCs w:val="24"/>
              </w:rPr>
            </w:pPr>
            <w:r w:rsidRPr="00752793">
              <w:rPr>
                <w:rFonts w:ascii="GHEA Grapalat" w:hAnsi="GHEA Grapalat" w:cstheme="minorBidi"/>
                <w:b/>
                <w:bCs/>
              </w:rPr>
              <w:t>ԻՐԱԿԱՆԱՑՄԱՆ ԺԱՄԿԵՏԸ</w:t>
            </w:r>
          </w:p>
        </w:tc>
      </w:tr>
      <w:tr w:rsidR="00BA3448" w:rsidRPr="00752793" w14:paraId="265A9E45" w14:textId="77777777" w:rsidTr="00866885">
        <w:tblPrEx>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PrEx>
        <w:trPr>
          <w:trHeight w:val="269"/>
        </w:trPr>
        <w:tc>
          <w:tcPr>
            <w:tcW w:w="566" w:type="dxa"/>
          </w:tcPr>
          <w:p w14:paraId="159DDB92" w14:textId="77777777" w:rsidR="0033452E" w:rsidRPr="00752793" w:rsidRDefault="0033452E" w:rsidP="00866885">
            <w:pPr>
              <w:ind w:firstLine="0"/>
              <w:jc w:val="left"/>
              <w:rPr>
                <w:rFonts w:ascii="GHEA Grapalat" w:hAnsi="GHEA Grapalat"/>
                <w:sz w:val="24"/>
                <w:szCs w:val="24"/>
              </w:rPr>
            </w:pPr>
            <w:r w:rsidRPr="00752793">
              <w:rPr>
                <w:rFonts w:ascii="GHEA Grapalat" w:hAnsi="GHEA Grapalat" w:cstheme="minorBidi"/>
              </w:rPr>
              <w:t>1</w:t>
            </w:r>
            <w:r w:rsidRPr="00752793">
              <w:rPr>
                <w:rFonts w:ascii="Cambria Math" w:hAnsi="Cambria Math" w:cs="Cambria Math"/>
              </w:rPr>
              <w:t>․</w:t>
            </w:r>
          </w:p>
        </w:tc>
        <w:tc>
          <w:tcPr>
            <w:tcW w:w="8932" w:type="dxa"/>
            <w:gridSpan w:val="3"/>
          </w:tcPr>
          <w:p w14:paraId="63FD3B91" w14:textId="77777777" w:rsidR="0033452E" w:rsidRPr="00752793" w:rsidRDefault="0033452E" w:rsidP="006F50ED">
            <w:pPr>
              <w:ind w:firstLine="0"/>
              <w:jc w:val="left"/>
              <w:rPr>
                <w:rFonts w:ascii="GHEA Grapalat" w:hAnsi="GHEA Grapalat" w:cs="Calibri"/>
                <w:sz w:val="24"/>
                <w:szCs w:val="24"/>
              </w:rPr>
            </w:pPr>
            <w:r w:rsidRPr="00752793">
              <w:rPr>
                <w:rFonts w:ascii="GHEA Grapalat" w:hAnsi="GHEA Grapalat" w:cstheme="minorBidi"/>
              </w:rPr>
              <w:t>Հաշվեքննիչ պալատի 2026-2032 թվականների ռազմավարական զարգացման ծրագրի և դրա իրականացման միջոցառումների պլանին համաձայն՝ 2026 թվականին նախատեսված միջոցառումների իրականացում:</w:t>
            </w:r>
          </w:p>
        </w:tc>
        <w:tc>
          <w:tcPr>
            <w:tcW w:w="2693" w:type="dxa"/>
          </w:tcPr>
          <w:p w14:paraId="04E3071E" w14:textId="77777777" w:rsidR="0033452E" w:rsidRPr="00752793" w:rsidRDefault="0033452E" w:rsidP="006F50ED">
            <w:pPr>
              <w:ind w:firstLine="0"/>
              <w:jc w:val="left"/>
              <w:rPr>
                <w:rFonts w:ascii="GHEA Grapalat" w:hAnsi="GHEA Grapalat"/>
                <w:sz w:val="24"/>
                <w:szCs w:val="24"/>
              </w:rPr>
            </w:pPr>
            <w:r w:rsidRPr="00752793">
              <w:rPr>
                <w:rFonts w:ascii="GHEA Grapalat" w:hAnsi="GHEA Grapalat" w:cstheme="minorBidi"/>
              </w:rPr>
              <w:t>Մեթոդաբանության և տեղեկատվական տեխնոլոգիաների վարչություն</w:t>
            </w:r>
          </w:p>
        </w:tc>
        <w:tc>
          <w:tcPr>
            <w:tcW w:w="1843" w:type="dxa"/>
          </w:tcPr>
          <w:p w14:paraId="1494AA6C" w14:textId="77777777" w:rsidR="0033452E" w:rsidRPr="00752793" w:rsidRDefault="0033452E" w:rsidP="00866885">
            <w:pPr>
              <w:ind w:firstLine="0"/>
              <w:jc w:val="left"/>
              <w:rPr>
                <w:rFonts w:ascii="GHEA Grapalat" w:hAnsi="GHEA Grapalat"/>
                <w:sz w:val="24"/>
                <w:szCs w:val="24"/>
              </w:rPr>
            </w:pPr>
            <w:r w:rsidRPr="00752793">
              <w:rPr>
                <w:rFonts w:ascii="GHEA Grapalat" w:hAnsi="GHEA Grapalat" w:cstheme="minorBidi"/>
              </w:rPr>
              <w:t>2026թ.</w:t>
            </w:r>
          </w:p>
        </w:tc>
      </w:tr>
    </w:tbl>
    <w:p w14:paraId="6461AD09" w14:textId="77777777" w:rsidR="00E2061A" w:rsidRPr="00752793" w:rsidRDefault="00E2061A" w:rsidP="00866885">
      <w:pPr>
        <w:ind w:left="927" w:firstLine="0"/>
        <w:rPr>
          <w:b/>
          <w:bCs/>
        </w:rPr>
        <w:sectPr w:rsidR="00E2061A" w:rsidRPr="00752793" w:rsidSect="00866885">
          <w:headerReference w:type="default" r:id="rId17"/>
          <w:footerReference w:type="default" r:id="rId18"/>
          <w:pgSz w:w="15840" w:h="12240" w:orient="landscape"/>
          <w:pgMar w:top="993" w:right="426" w:bottom="616" w:left="426" w:header="720" w:footer="514" w:gutter="0"/>
          <w:cols w:space="720"/>
          <w:docGrid w:linePitch="360"/>
        </w:sectPr>
      </w:pPr>
    </w:p>
    <w:p w14:paraId="10CB7B8B" w14:textId="0EEE059B" w:rsidR="00DC32E9" w:rsidRPr="00752793" w:rsidRDefault="0090651D" w:rsidP="00866885">
      <w:pPr>
        <w:pStyle w:val="Subtitle"/>
        <w:spacing w:after="480"/>
        <w:ind w:firstLine="0"/>
        <w:jc w:val="left"/>
        <w:rPr>
          <w:sz w:val="26"/>
          <w:szCs w:val="26"/>
        </w:rPr>
      </w:pPr>
      <w:bookmarkStart w:id="4" w:name="_Toc216079278"/>
      <w:r w:rsidRPr="00443956">
        <w:rPr>
          <w:sz w:val="26"/>
          <w:szCs w:val="26"/>
        </w:rPr>
        <w:lastRenderedPageBreak/>
        <w:t xml:space="preserve">ԳՈՐԾՈՒՆԵՈՒԹՅԱՆ </w:t>
      </w:r>
      <w:r w:rsidR="00325EEA" w:rsidRPr="00443956">
        <w:rPr>
          <w:sz w:val="26"/>
          <w:szCs w:val="26"/>
        </w:rPr>
        <w:t>ԾՐԱԳՐՈՒՄ ՆԵՐԱՌՎԱԾ ՀԱՇՎԵՔՆՆՈՒԹՅԱՆ ԹԵՄԱՆԵՐԻ ԵՎ ՄԻՋՈՑԱՌՈՒՄՆԵՐԻ</w:t>
      </w:r>
      <w:r w:rsidRPr="00443956">
        <w:rPr>
          <w:sz w:val="26"/>
          <w:szCs w:val="26"/>
        </w:rPr>
        <w:t xml:space="preserve"> ՀԻՄՆԱՎՈՐՈՒՄ</w:t>
      </w:r>
      <w:r w:rsidR="002A77C6" w:rsidRPr="00443956">
        <w:rPr>
          <w:sz w:val="26"/>
          <w:szCs w:val="26"/>
        </w:rPr>
        <w:t>ՆԵՐ</w:t>
      </w:r>
      <w:r w:rsidRPr="00443956">
        <w:rPr>
          <w:sz w:val="26"/>
          <w:szCs w:val="26"/>
        </w:rPr>
        <w:t>Ը</w:t>
      </w:r>
      <w:bookmarkEnd w:id="4"/>
    </w:p>
    <w:p w14:paraId="048AE005" w14:textId="596FF498" w:rsidR="001D5AF9" w:rsidRPr="00752793" w:rsidRDefault="0090651D">
      <w:pPr>
        <w:pStyle w:val="Heading4"/>
      </w:pPr>
      <w:r w:rsidRPr="00752793">
        <w:t>1-</w:t>
      </w:r>
      <w:r w:rsidR="00A8628B" w:rsidRPr="00752793">
        <w:t xml:space="preserve">ԻՆ </w:t>
      </w:r>
      <w:r w:rsidRPr="00752793">
        <w:t>ԲԱԺԻՆ</w:t>
      </w:r>
    </w:p>
    <w:p w14:paraId="211C07B0" w14:textId="1332FB95" w:rsidR="00DC32E9" w:rsidRPr="00752793" w:rsidRDefault="00DC32E9">
      <w:pPr>
        <w:pStyle w:val="Heading3"/>
      </w:pPr>
      <w:bookmarkStart w:id="5" w:name="_Toc216079279"/>
      <w:r w:rsidRPr="00752793">
        <w:t>ՀՀ 2026 թվականի պետական բյուջեի կատարման հաշվեքննություն</w:t>
      </w:r>
      <w:bookmarkEnd w:id="5"/>
    </w:p>
    <w:p w14:paraId="4B5FB8B6" w14:textId="77777777" w:rsidR="00DC32E9" w:rsidRPr="00752793" w:rsidRDefault="00DC32E9" w:rsidP="00866885">
      <w:pPr>
        <w:keepNext/>
        <w:keepLines/>
        <w:spacing w:before="240" w:after="360"/>
        <w:rPr>
          <w:rStyle w:val="IntenseEmphasis"/>
          <w:b w:val="0"/>
          <w:bCs/>
          <w:sz w:val="26"/>
        </w:rPr>
      </w:pPr>
      <w:r w:rsidRPr="00752793">
        <w:rPr>
          <w:rStyle w:val="IntenseEmphasis"/>
        </w:rPr>
        <w:t>Ծրագրի 1-ին կետ՝ պետական բյուջեի կատարման գնահատում</w:t>
      </w:r>
    </w:p>
    <w:p w14:paraId="117D5FBA" w14:textId="25908E51" w:rsidR="00DC32E9" w:rsidRPr="00752793" w:rsidRDefault="00DC32E9" w:rsidP="00856E20">
      <w:r w:rsidRPr="00752793">
        <w:t>Պետական բյուջեի կատարման վերաբերյալ Հաշվեքննիչ պալատի եզրակացությունը (ներառյալ՝ հաշվեքննության կարծիքը) ձևավորելու կարգավորումները ներդաշնակ են միջազգային ստանդարտներին</w:t>
      </w:r>
      <w:r w:rsidRPr="00752793">
        <w:rPr>
          <w:rStyle w:val="FootnoteReference"/>
        </w:rPr>
        <w:footnoteReference w:id="10"/>
      </w:r>
      <w:r w:rsidRPr="00752793">
        <w:t xml:space="preserve"> և ըստ այդմ. </w:t>
      </w:r>
    </w:p>
    <w:p w14:paraId="11CE1AD8" w14:textId="77777777" w:rsidR="00DC32E9" w:rsidRPr="00443956" w:rsidRDefault="00DC32E9">
      <w:pPr>
        <w:pStyle w:val="ListParagraph"/>
        <w:numPr>
          <w:ilvl w:val="0"/>
          <w:numId w:val="7"/>
        </w:numPr>
        <w:rPr>
          <w:lang w:val="hy-AM"/>
        </w:rPr>
      </w:pPr>
      <w:r w:rsidRPr="00443956">
        <w:rPr>
          <w:lang w:val="hy-AM"/>
        </w:rPr>
        <w:t>հաշվեքննության առարկան պետական բյուջեի կատարումն է որպես մեկ միավոր,</w:t>
      </w:r>
    </w:p>
    <w:p w14:paraId="2AE893C2" w14:textId="77777777" w:rsidR="00DC32E9" w:rsidRPr="00443956" w:rsidRDefault="00DC32E9">
      <w:pPr>
        <w:pStyle w:val="ListParagraph"/>
        <w:numPr>
          <w:ilvl w:val="0"/>
          <w:numId w:val="7"/>
        </w:numPr>
        <w:rPr>
          <w:lang w:val="hy-AM"/>
        </w:rPr>
      </w:pPr>
      <w:r w:rsidRPr="00443956">
        <w:rPr>
          <w:lang w:val="hy-AM"/>
        </w:rPr>
        <w:t>հաշվեքննության են ենթակա բյուջետային ծրագրերի բոլոր պատասխանատուները՝ բյուջետային հատկացումների կարգադրիչները</w:t>
      </w:r>
      <w:r w:rsidRPr="00752793">
        <w:rPr>
          <w:vertAlign w:val="superscript"/>
        </w:rPr>
        <w:footnoteReference w:id="11"/>
      </w:r>
      <w:r w:rsidRPr="00443956">
        <w:rPr>
          <w:lang w:val="hy-AM"/>
        </w:rPr>
        <w:t>։</w:t>
      </w:r>
    </w:p>
    <w:p w14:paraId="3779314D" w14:textId="77777777" w:rsidR="00DC32E9" w:rsidRPr="00752793" w:rsidRDefault="00DC32E9" w:rsidP="00856E20">
      <w:pPr>
        <w:rPr>
          <w:rFonts w:eastAsiaTheme="minorEastAsia"/>
        </w:rPr>
      </w:pPr>
      <w:r w:rsidRPr="00752793">
        <w:t>Պետական բյուջեի կատարման վերաբերյալ եզրակացությունը կազմվում է ֆինանսական հաշվեքննության միջոցով՝ օգտագործելով այդ տարվա պետական բյուջեի երեք, վեց և ինն ամիսների կատարման ֆինանսական հաշվեքննության (այսուհետ՝ եռամսյակային հաշվեքննություն) ընթացիկ եզրակացությունները</w:t>
      </w:r>
      <w:r w:rsidRPr="00752793">
        <w:rPr>
          <w:rStyle w:val="FootnoteReference"/>
        </w:rPr>
        <w:footnoteReference w:id="12"/>
      </w:r>
      <w:r w:rsidRPr="00752793">
        <w:t>:</w:t>
      </w:r>
    </w:p>
    <w:p w14:paraId="3F6516D0" w14:textId="77777777" w:rsidR="00DC32E9" w:rsidRPr="00752793" w:rsidRDefault="00DC32E9" w:rsidP="00856E20">
      <w:pPr>
        <w:rPr>
          <w:rFonts w:eastAsiaTheme="minorEastAsia"/>
        </w:rPr>
      </w:pPr>
      <w:r w:rsidRPr="00752793">
        <w:t>Եռամսյակային հաշվեքննությունների հիման վրա կազմվում են ընթացիկ եզրակացություններ</w:t>
      </w:r>
      <w:r w:rsidRPr="00752793">
        <w:rPr>
          <w:rStyle w:val="FootnoteReference"/>
        </w:rPr>
        <w:footnoteReference w:id="13"/>
      </w:r>
      <w:r w:rsidRPr="00752793">
        <w:t>, որոնցում ամփոփվում են պետական բյուջեի տարեկան կատարման ֆինանսական հաշվեքննության միջանկյալ արդյունքները։</w:t>
      </w:r>
    </w:p>
    <w:p w14:paraId="2428FA1D" w14:textId="4EFEDF73" w:rsidR="00DC32E9" w:rsidRPr="00752793" w:rsidRDefault="00DC32E9" w:rsidP="00856E20">
      <w:r w:rsidRPr="00752793">
        <w:t>Հաշվի առնելով, որ պետական բյուջեի կատարման վերաբերյալ եզրակացության ձևավորումն անընդհատ գործընթաց է և տեղի է ունենում 2026</w:t>
      </w:r>
      <w:r w:rsidR="006F50ED" w:rsidRPr="00752793">
        <w:t>,</w:t>
      </w:r>
      <w:r w:rsidRPr="00752793">
        <w:t xml:space="preserve"> 2027 թվականներին իրականացվող հաշվեքննությունների միջոցով, գործունեության ծրագրի այս կետի կատարման ժամկետը </w:t>
      </w:r>
      <w:r w:rsidR="006F50ED" w:rsidRPr="00752793">
        <w:t xml:space="preserve">սահմանված </w:t>
      </w:r>
      <w:r w:rsidRPr="00752793">
        <w:t>է 2026-2027 թվականներ</w:t>
      </w:r>
      <w:r w:rsidRPr="00752793">
        <w:rPr>
          <w:rStyle w:val="FootnoteReference"/>
        </w:rPr>
        <w:footnoteReference w:id="14"/>
      </w:r>
      <w:r w:rsidRPr="00752793">
        <w:t>։</w:t>
      </w:r>
    </w:p>
    <w:p w14:paraId="2448F94E" w14:textId="39280B25" w:rsidR="00DC32E9" w:rsidRPr="00752793" w:rsidRDefault="00793773" w:rsidP="00856E20">
      <w:pPr>
        <w:pStyle w:val="Subtitle"/>
        <w:rPr>
          <w:sz w:val="22"/>
        </w:rPr>
      </w:pPr>
      <w:bookmarkStart w:id="6" w:name="_Toc216079280"/>
      <w:r w:rsidRPr="00443956">
        <w:lastRenderedPageBreak/>
        <w:t>Թ</w:t>
      </w:r>
      <w:r w:rsidRPr="00752793">
        <w:t>եմատիկ հաշվեքննություններ</w:t>
      </w:r>
      <w:r w:rsidR="00DC32E9" w:rsidRPr="00752793">
        <w:rPr>
          <w:rStyle w:val="FootnoteReference"/>
          <w:sz w:val="22"/>
          <w:szCs w:val="22"/>
        </w:rPr>
        <w:footnoteReference w:id="15"/>
      </w:r>
      <w:bookmarkEnd w:id="6"/>
    </w:p>
    <w:p w14:paraId="38A63508" w14:textId="77777777" w:rsidR="00DC32E9" w:rsidRPr="00752793" w:rsidRDefault="00DC32E9" w:rsidP="00856E20">
      <w:r w:rsidRPr="00752793">
        <w:t>Գործունեության ծրագրում թեմատիկ հաշվեքննությունները նախատեսվել են Հաշվեքննության 2026-2028 թվականների առաջնահերթությունների և գործունեության ծրագիրը կազմելու ռիսկերի մեթոդաբանության</w:t>
      </w:r>
      <w:r w:rsidRPr="00752793">
        <w:rPr>
          <w:rStyle w:val="FootnoteReference"/>
        </w:rPr>
        <w:footnoteReference w:id="16"/>
      </w:r>
      <w:r w:rsidRPr="00752793">
        <w:t xml:space="preserve"> հիման վրա։ </w:t>
      </w:r>
    </w:p>
    <w:p w14:paraId="5B4D56F6" w14:textId="77777777" w:rsidR="00DC32E9" w:rsidRPr="00752793" w:rsidRDefault="00DC32E9" w:rsidP="00856E20">
      <w:r w:rsidRPr="00752793">
        <w:t>Հաշվեքննության 2026-2028 թվականների առաջնահերթությունների հիման վրա՝ Հաշվեքննիչ պալատի 2026 թվականի գործունեության ծրագրում կատարողականի հաշվեքննության թեմաների ընտրության նպատակով կիրառվել են հետևյալ չափանիշները.</w:t>
      </w:r>
    </w:p>
    <w:p w14:paraId="410DFA27" w14:textId="77777777" w:rsidR="00DC32E9" w:rsidRPr="00443956" w:rsidRDefault="00DC32E9">
      <w:pPr>
        <w:pStyle w:val="ListParagraph"/>
        <w:numPr>
          <w:ilvl w:val="0"/>
          <w:numId w:val="8"/>
        </w:numPr>
        <w:rPr>
          <w:lang w:val="hy-AM"/>
        </w:rPr>
      </w:pPr>
      <w:r w:rsidRPr="00443956">
        <w:rPr>
          <w:lang w:val="hy-AM"/>
        </w:rPr>
        <w:t>հաշվեքննությունը մեկնարկել է Հաշվեքննիչ պալատի 2025 թվականի գործունեության ծրագրով և պետք է շարունակվի 2026 թվականին,</w:t>
      </w:r>
    </w:p>
    <w:p w14:paraId="50427B64" w14:textId="77777777" w:rsidR="00DC32E9" w:rsidRPr="00443956" w:rsidRDefault="00DC32E9">
      <w:pPr>
        <w:pStyle w:val="ListParagraph"/>
        <w:numPr>
          <w:ilvl w:val="0"/>
          <w:numId w:val="8"/>
        </w:numPr>
        <w:rPr>
          <w:lang w:val="hy-AM"/>
        </w:rPr>
      </w:pPr>
      <w:r w:rsidRPr="00443956">
        <w:rPr>
          <w:lang w:val="hy-AM"/>
        </w:rPr>
        <w:t>թեման նախկինում հաշվեքննության չի ենթարկվել,</w:t>
      </w:r>
    </w:p>
    <w:p w14:paraId="21848146" w14:textId="77777777" w:rsidR="00DC32E9" w:rsidRPr="00443956" w:rsidRDefault="00DC32E9">
      <w:pPr>
        <w:pStyle w:val="ListParagraph"/>
        <w:numPr>
          <w:ilvl w:val="0"/>
          <w:numId w:val="8"/>
        </w:numPr>
        <w:rPr>
          <w:lang w:val="hy-AM"/>
        </w:rPr>
      </w:pPr>
      <w:r w:rsidRPr="00443956">
        <w:rPr>
          <w:lang w:val="hy-AM"/>
        </w:rPr>
        <w:t>թեման կարող է ունենալ ազդեցության նշանակալի ներուժ,</w:t>
      </w:r>
    </w:p>
    <w:p w14:paraId="73601B04" w14:textId="77777777" w:rsidR="00DC32E9" w:rsidRPr="00443956" w:rsidRDefault="00DC32E9">
      <w:pPr>
        <w:pStyle w:val="ListParagraph"/>
        <w:numPr>
          <w:ilvl w:val="0"/>
          <w:numId w:val="8"/>
        </w:numPr>
        <w:rPr>
          <w:lang w:val="hy-AM"/>
        </w:rPr>
      </w:pPr>
      <w:r w:rsidRPr="00443956">
        <w:rPr>
          <w:lang w:val="hy-AM"/>
        </w:rPr>
        <w:t>առկա է հաշվեքննության համար տեղեկատվության հասանելիության բավարար մակարդակ,</w:t>
      </w:r>
    </w:p>
    <w:p w14:paraId="48F95852" w14:textId="77777777" w:rsidR="00DC32E9" w:rsidRPr="00443956" w:rsidRDefault="00DC32E9">
      <w:pPr>
        <w:pStyle w:val="ListParagraph"/>
        <w:numPr>
          <w:ilvl w:val="0"/>
          <w:numId w:val="8"/>
        </w:numPr>
        <w:rPr>
          <w:lang w:val="hy-AM"/>
        </w:rPr>
      </w:pPr>
      <w:r w:rsidRPr="00443956">
        <w:rPr>
          <w:lang w:val="hy-AM"/>
        </w:rPr>
        <w:t>հաշվեքննության առարկայի համար օգտագործվել է բյուջետային զգալի ֆինանսավորում,</w:t>
      </w:r>
    </w:p>
    <w:p w14:paraId="20BE22F9" w14:textId="77777777" w:rsidR="00DC32E9" w:rsidRPr="00443956" w:rsidRDefault="00DC32E9">
      <w:pPr>
        <w:pStyle w:val="ListParagraph"/>
        <w:numPr>
          <w:ilvl w:val="0"/>
          <w:numId w:val="8"/>
        </w:numPr>
        <w:rPr>
          <w:lang w:val="hy-AM"/>
        </w:rPr>
      </w:pPr>
      <w:r w:rsidRPr="00443956">
        <w:rPr>
          <w:lang w:val="hy-AM"/>
        </w:rPr>
        <w:t>առկա է բյուջեի ֆինանսական և ոչ ֆինանսական ցուցանիշների բարձր կատարողական,</w:t>
      </w:r>
    </w:p>
    <w:p w14:paraId="3950747D" w14:textId="77777777" w:rsidR="00DC32E9" w:rsidRPr="00443956" w:rsidRDefault="00DC32E9">
      <w:pPr>
        <w:pStyle w:val="ListParagraph"/>
        <w:numPr>
          <w:ilvl w:val="0"/>
          <w:numId w:val="8"/>
        </w:numPr>
        <w:rPr>
          <w:lang w:val="hy-AM"/>
        </w:rPr>
      </w:pPr>
      <w:r w:rsidRPr="00443956">
        <w:rPr>
          <w:lang w:val="hy-AM"/>
        </w:rPr>
        <w:t>առկա է հաշվեքննություն իրականացնելու հանրային պահանջ:</w:t>
      </w:r>
    </w:p>
    <w:p w14:paraId="5E91A491" w14:textId="77777777" w:rsidR="00DC32E9" w:rsidRPr="00752793" w:rsidRDefault="00DC32E9" w:rsidP="00856E20">
      <w:r w:rsidRPr="00752793">
        <w:t>Հաշվեքննիչ պալատի գործունեության ծրագիրը կազմելու կարգի</w:t>
      </w:r>
      <w:r w:rsidRPr="00752793">
        <w:rPr>
          <w:rStyle w:val="FootnoteReference"/>
        </w:rPr>
        <w:footnoteReference w:id="17"/>
      </w:r>
      <w:r w:rsidRPr="00752793">
        <w:t xml:space="preserve"> համաձայն ծրագրում նախատեսվել է իրականացնել 6 կատարողականի, 3 համապատասխանության և մեկ ֆինանսական և համապատասխանության հաշվեքննություն, որոնց ընտրության հիմնավորումները ներկայացվում են ստորև։</w:t>
      </w:r>
    </w:p>
    <w:p w14:paraId="3ED9164D" w14:textId="77777777" w:rsidR="00DC32E9" w:rsidRPr="00443956" w:rsidRDefault="00DC32E9">
      <w:pPr>
        <w:pStyle w:val="Heading3"/>
        <w:rPr>
          <w:lang w:val="hy-AM"/>
        </w:rPr>
      </w:pPr>
      <w:bookmarkStart w:id="7" w:name="_Toc216078341"/>
      <w:bookmarkStart w:id="8" w:name="_Toc216078702"/>
      <w:bookmarkStart w:id="9" w:name="_Toc216078929"/>
      <w:bookmarkStart w:id="10" w:name="_Toc216078996"/>
      <w:bookmarkStart w:id="11" w:name="_Toc216079240"/>
      <w:bookmarkStart w:id="12" w:name="_Toc216079281"/>
      <w:bookmarkStart w:id="13" w:name="_Toc216079290"/>
      <w:bookmarkEnd w:id="7"/>
      <w:bookmarkEnd w:id="8"/>
      <w:bookmarkEnd w:id="9"/>
      <w:bookmarkEnd w:id="10"/>
      <w:bookmarkEnd w:id="11"/>
      <w:bookmarkEnd w:id="12"/>
      <w:r w:rsidRPr="00443956">
        <w:rPr>
          <w:lang w:val="hy-AM"/>
        </w:rPr>
        <w:t>Առողջապահության բնագավառի մասնագիտական կադրային ներուժի տարածքային զարգացման համաչափություն</w:t>
      </w:r>
      <w:r w:rsidRPr="00752793">
        <w:rPr>
          <w:rStyle w:val="FootnoteReference"/>
          <w:sz w:val="22"/>
          <w:szCs w:val="22"/>
        </w:rPr>
        <w:footnoteReference w:id="18"/>
      </w:r>
      <w:bookmarkEnd w:id="13"/>
      <w:r w:rsidRPr="00443956">
        <w:rPr>
          <w:lang w:val="hy-AM"/>
        </w:rPr>
        <w:t xml:space="preserve"> </w:t>
      </w:r>
    </w:p>
    <w:p w14:paraId="293961E3" w14:textId="5AEFF498" w:rsidR="00DC32E9" w:rsidRPr="00752793" w:rsidRDefault="00DC32E9" w:rsidP="00866885">
      <w:pPr>
        <w:keepNext/>
        <w:keepLines/>
        <w:spacing w:before="240" w:after="360"/>
        <w:rPr>
          <w:rStyle w:val="IntenseEmphasis"/>
        </w:rPr>
      </w:pPr>
      <w:r w:rsidRPr="00752793">
        <w:rPr>
          <w:rStyle w:val="IntenseEmphasis"/>
        </w:rPr>
        <w:t>Ծրագրի 2-րդ կետ՝ արդյունավետության գնահատում</w:t>
      </w:r>
    </w:p>
    <w:p w14:paraId="098F5315" w14:textId="2BFE9512" w:rsidR="00DC32E9" w:rsidRPr="00752793" w:rsidRDefault="00DC32E9" w:rsidP="006F50ED">
      <w:r w:rsidRPr="00752793">
        <w:t>Առողջապահական ծառայությունների հասանելիության և որակի տեսակետից բժշկական կադրային ներուժի խիստ անհա</w:t>
      </w:r>
      <w:r w:rsidRPr="00752793">
        <w:softHyphen/>
        <w:t>մա</w:t>
      </w:r>
      <w:r w:rsidRPr="00752793">
        <w:softHyphen/>
        <w:t xml:space="preserve">չափ բաշխվածությունը նշանակալի խնդիր է (10000 բնակչի </w:t>
      </w:r>
      <w:r w:rsidRPr="00752793">
        <w:lastRenderedPageBreak/>
        <w:t>հաշ</w:t>
      </w:r>
      <w:r w:rsidRPr="00752793">
        <w:softHyphen/>
        <w:t>վով ՏՀԶԿ երկրներում բժիշկների թիվը 37 է</w:t>
      </w:r>
      <w:r w:rsidRPr="00752793">
        <w:rPr>
          <w:vertAlign w:val="superscript"/>
        </w:rPr>
        <w:footnoteReference w:id="19"/>
      </w:r>
      <w:r w:rsidRPr="00752793">
        <w:t>, ՀՀ</w:t>
      </w:r>
      <w:r w:rsidRPr="00752793">
        <w:noBreakHyphen/>
        <w:t>ում՝ 51, ընդ որում՝ մայրա</w:t>
      </w:r>
      <w:r w:rsidRPr="00752793">
        <w:softHyphen/>
        <w:t>քա</w:t>
      </w:r>
      <w:r w:rsidRPr="00752793">
        <w:softHyphen/>
        <w:t>ղա</w:t>
      </w:r>
      <w:r w:rsidRPr="00752793">
        <w:softHyphen/>
        <w:t>քում՝ 101, իսկ մարզերում 16-26) և մար</w:t>
      </w:r>
      <w:r w:rsidRPr="00752793">
        <w:softHyphen/>
        <w:t>զերում կադրային թերհագեցվածութ</w:t>
      </w:r>
      <w:r w:rsidRPr="00752793">
        <w:softHyphen/>
        <w:t>յու</w:t>
      </w:r>
      <w:r w:rsidRPr="00752793">
        <w:softHyphen/>
        <w:t>նը (Առողջապահության նախարարության տվյալներով</w:t>
      </w:r>
      <w:r w:rsidRPr="00752793">
        <w:rPr>
          <w:vertAlign w:val="superscript"/>
        </w:rPr>
        <w:footnoteReference w:id="20"/>
      </w:r>
      <w:r w:rsidRPr="00752793">
        <w:t xml:space="preserve"> մարզերում առկա է 268 բուժ</w:t>
      </w:r>
      <w:r w:rsidRPr="00752793">
        <w:softHyphen/>
        <w:t>աշխատողի թափուր հաստիք)</w:t>
      </w:r>
      <w:r w:rsidRPr="00752793">
        <w:rPr>
          <w:vertAlign w:val="superscript"/>
        </w:rPr>
        <w:footnoteReference w:id="21"/>
      </w:r>
      <w:r w:rsidRPr="00752793">
        <w:t xml:space="preserve">։ </w:t>
      </w:r>
    </w:p>
    <w:p w14:paraId="5A72F4DD" w14:textId="77777777" w:rsidR="00DC32E9" w:rsidRPr="00752793" w:rsidRDefault="00DC32E9" w:rsidP="00856E20">
      <w:r w:rsidRPr="00752793">
        <w:rPr>
          <w:rFonts w:eastAsiaTheme="minorEastAsia"/>
        </w:rPr>
        <w:t xml:space="preserve">Թեման </w:t>
      </w:r>
      <w:r w:rsidRPr="00752793">
        <w:t xml:space="preserve">մեկնարկել է </w:t>
      </w:r>
      <w:r w:rsidRPr="00752793">
        <w:rPr>
          <w:rFonts w:eastAsiaTheme="minorEastAsia"/>
        </w:rPr>
        <w:t>Հաշվեքննիչ</w:t>
      </w:r>
      <w:r w:rsidRPr="00752793">
        <w:t xml:space="preserve"> պալատի 2025 թվականի գործունեության ծրագրի շրջանակում և նախատեսվում է ավարտել 2026 թվականին։</w:t>
      </w:r>
    </w:p>
    <w:p w14:paraId="3F168579" w14:textId="77777777" w:rsidR="00DC32E9" w:rsidRPr="00752793" w:rsidRDefault="00DC32E9" w:rsidP="006F50ED">
      <w:pPr>
        <w:pStyle w:val="Heading3"/>
        <w:ind w:left="0" w:firstLine="0"/>
      </w:pPr>
      <w:bookmarkStart w:id="14" w:name="_Toc216079291"/>
      <w:r w:rsidRPr="00752793">
        <w:t>Հողերի կոնսոլիդացում</w:t>
      </w:r>
      <w:r w:rsidRPr="00443956">
        <w:rPr>
          <w:b w:val="0"/>
          <w:bCs w:val="0"/>
          <w:sz w:val="24"/>
          <w:szCs w:val="24"/>
          <w:vertAlign w:val="superscript"/>
        </w:rPr>
        <w:footnoteReference w:id="22"/>
      </w:r>
      <w:bookmarkEnd w:id="14"/>
    </w:p>
    <w:p w14:paraId="5E0B55B6" w14:textId="77777777" w:rsidR="00DC32E9" w:rsidRPr="00752793" w:rsidRDefault="00DC32E9" w:rsidP="00866885">
      <w:pPr>
        <w:keepNext/>
        <w:keepLines/>
        <w:spacing w:before="240" w:after="360"/>
        <w:rPr>
          <w:rStyle w:val="IntenseEmphasis"/>
        </w:rPr>
      </w:pPr>
      <w:r w:rsidRPr="00752793">
        <w:rPr>
          <w:rStyle w:val="IntenseEmphasis"/>
        </w:rPr>
        <w:t>Ծրագրի 3-րդ կետ՝ արդյունավետության գնահատում</w:t>
      </w:r>
    </w:p>
    <w:p w14:paraId="0F55AE0A" w14:textId="6216F55A" w:rsidR="00DC32E9" w:rsidRPr="00752793" w:rsidRDefault="00DC32E9" w:rsidP="00856E20">
      <w:r w:rsidRPr="00752793">
        <w:t>Տնտեսության արտահանման ներուժ ունեցող գյուղատնտեսության նշանակալի հիմ</w:t>
      </w:r>
      <w:r w:rsidRPr="00752793">
        <w:softHyphen/>
        <w:t>նախնդիրը շարունակում է մնալ գյուղա</w:t>
      </w:r>
      <w:r w:rsidRPr="00752793">
        <w:softHyphen/>
        <w:t>ցիական տնտեսությունների փոքր չափերը։ Ըստ վիճակագրական տվյալների շուրջ 346 հազ. տնտեսություններից յուրա</w:t>
      </w:r>
      <w:r w:rsidRPr="00752793">
        <w:softHyphen/>
        <w:t>քանչ</w:t>
      </w:r>
      <w:r w:rsidRPr="00752793">
        <w:softHyphen/>
        <w:t>յուրին միջինում բաժին է ընկնում 1.48 հա հողատարածք։ Ընդ որում, առկա  է նաև միջին ցուցանիշների անհամաչափ բաշխում ըստ մարզերի՝ Արարատի մարզում՝ 0.72 հա-ից մինչև Շի</w:t>
      </w:r>
      <w:r w:rsidRPr="00752793">
        <w:softHyphen/>
        <w:t>րակի մարզում՝ 2.54 հա-ի միջակայքում</w:t>
      </w:r>
      <w:r w:rsidRPr="00752793">
        <w:rPr>
          <w:vertAlign w:val="superscript"/>
        </w:rPr>
        <w:footnoteReference w:id="23"/>
      </w:r>
      <w:r w:rsidRPr="00752793">
        <w:t>։ Բացի այդ, առարկայական խնդիր է նաև հողերի մասնատվածությունը՝ գյուղա</w:t>
      </w:r>
      <w:r w:rsidRPr="00752793">
        <w:softHyphen/>
        <w:t>ցիա</w:t>
      </w:r>
      <w:r w:rsidRPr="00752793">
        <w:softHyphen/>
        <w:t>կան տնտեսությունների 45%-ը կազմված է 3 և ավելի, իսկ 20%-ը՝ 5 և ավելի հողամասե</w:t>
      </w:r>
      <w:r w:rsidRPr="00752793">
        <w:softHyphen/>
        <w:t>րից։ Այդ պայմաններում ցածր է աշ</w:t>
      </w:r>
      <w:r w:rsidRPr="00752793">
        <w:softHyphen/>
        <w:t>խա</w:t>
      </w:r>
      <w:r w:rsidRPr="00752793">
        <w:softHyphen/>
        <w:t>տան</w:t>
      </w:r>
      <w:r w:rsidRPr="00752793">
        <w:softHyphen/>
        <w:t>քի արտադրողականությունն ու գյու</w:t>
      </w:r>
      <w:r w:rsidRPr="00752793">
        <w:softHyphen/>
        <w:t>ղա</w:t>
      </w:r>
      <w:r w:rsidRPr="00752793">
        <w:softHyphen/>
        <w:t>տնտե</w:t>
      </w:r>
      <w:r w:rsidRPr="00752793">
        <w:softHyphen/>
        <w:t>սական արտադրանքի ապ</w:t>
      </w:r>
      <w:r w:rsidRPr="00752793">
        <w:softHyphen/>
        <w:t>րան</w:t>
      </w:r>
      <w:r w:rsidRPr="00752793">
        <w:softHyphen/>
        <w:t>քայ</w:t>
      </w:r>
      <w:r w:rsidRPr="00752793">
        <w:softHyphen/>
        <w:t>նու</w:t>
      </w:r>
      <w:r w:rsidRPr="00752793">
        <w:softHyphen/>
        <w:t>թ</w:t>
      </w:r>
      <w:r w:rsidRPr="00752793">
        <w:softHyphen/>
        <w:t>յան մակարդակը (2023թ. կազմել է 57.2%</w:t>
      </w:r>
      <w:r w:rsidRPr="00752793">
        <w:rPr>
          <w:vertAlign w:val="superscript"/>
        </w:rPr>
        <w:footnoteReference w:id="24"/>
      </w:r>
      <w:r w:rsidRPr="00752793">
        <w:t xml:space="preserve">)։ </w:t>
      </w:r>
    </w:p>
    <w:p w14:paraId="650263B6" w14:textId="77777777" w:rsidR="00DC32E9" w:rsidRPr="00752793" w:rsidRDefault="00DC32E9" w:rsidP="00856E20">
      <w:bookmarkStart w:id="15" w:name="_Hlk215841362"/>
      <w:r w:rsidRPr="00752793">
        <w:t xml:space="preserve">Թեման մեկնարկել է Հաշվեքննիչ պալատի 2025 թվականի գործունեության ծրագրի շրջանակում և նախատեսվում է ավարտել 2026 թվականին։ </w:t>
      </w:r>
    </w:p>
    <w:p w14:paraId="6068F7BB" w14:textId="77777777" w:rsidR="00DC32E9" w:rsidRPr="00752793" w:rsidRDefault="00DC32E9">
      <w:pPr>
        <w:pStyle w:val="Heading3"/>
        <w:rPr>
          <w:rFonts w:eastAsia="Times New Roman" w:cs="Times New Roman"/>
          <w:lang w:eastAsia="ru-RU"/>
        </w:rPr>
      </w:pPr>
      <w:bookmarkStart w:id="16" w:name="_Toc216079292"/>
      <w:r w:rsidRPr="00752793">
        <w:t>Տնտեսական դի</w:t>
      </w:r>
      <w:r w:rsidRPr="00752793">
        <w:softHyphen/>
        <w:t>վա</w:t>
      </w:r>
      <w:r w:rsidRPr="00752793">
        <w:softHyphen/>
        <w:t>նագիտու</w:t>
      </w:r>
      <w:r w:rsidRPr="00752793">
        <w:softHyphen/>
        <w:t>թ</w:t>
      </w:r>
      <w:r w:rsidRPr="00752793">
        <w:softHyphen/>
        <w:t>յուն</w:t>
      </w:r>
      <w:r w:rsidRPr="00752793">
        <w:rPr>
          <w:rStyle w:val="FootnoteReference"/>
          <w:sz w:val="22"/>
          <w:szCs w:val="22"/>
        </w:rPr>
        <w:footnoteReference w:id="25"/>
      </w:r>
      <w:bookmarkEnd w:id="16"/>
      <w:r w:rsidRPr="00752793">
        <w:rPr>
          <w:rFonts w:eastAsia="Times New Roman" w:cs="Times New Roman"/>
          <w:lang w:eastAsia="ru-RU"/>
        </w:rPr>
        <w:t xml:space="preserve"> </w:t>
      </w:r>
    </w:p>
    <w:p w14:paraId="35F49A8C" w14:textId="77777777" w:rsidR="00DC32E9" w:rsidRPr="00752793" w:rsidRDefault="00DC32E9" w:rsidP="00866885">
      <w:pPr>
        <w:keepNext/>
        <w:keepLines/>
        <w:spacing w:before="240" w:after="360"/>
        <w:rPr>
          <w:rStyle w:val="IntenseEmphasis"/>
        </w:rPr>
      </w:pPr>
      <w:r w:rsidRPr="00752793">
        <w:rPr>
          <w:rStyle w:val="IntenseEmphasis"/>
        </w:rPr>
        <w:t>Ծրագրի 4-րդ կետ՝ արդյունավետության գնահատում</w:t>
      </w:r>
    </w:p>
    <w:p w14:paraId="560D02A9" w14:textId="71EDFD14" w:rsidR="00DC32E9" w:rsidRPr="00752793" w:rsidRDefault="00DC32E9" w:rsidP="00856E20">
      <w:pPr>
        <w:rPr>
          <w:rFonts w:eastAsia="Times New Roman" w:cs="Times New Roman"/>
          <w:lang w:eastAsia="ru-RU"/>
        </w:rPr>
      </w:pPr>
      <w:r w:rsidRPr="00752793">
        <w:t>Տնտեսական դիվանագիտությունը արտա</w:t>
      </w:r>
      <w:r w:rsidRPr="00752793">
        <w:softHyphen/>
        <w:t>հան</w:t>
      </w:r>
      <w:r w:rsidRPr="00752793">
        <w:softHyphen/>
        <w:t>ման խթանման վրա ազդեցության նշանակալի ներուժ ունի։ ՀՀ 2024-2026թթ. Միջնաժամկետ ծախսերի ծրագրով նախատեսվում է դես</w:t>
      </w:r>
      <w:r w:rsidRPr="00752793">
        <w:softHyphen/>
        <w:t>պան</w:t>
      </w:r>
      <w:r w:rsidRPr="00752793">
        <w:softHyphen/>
        <w:t>ըն</w:t>
      </w:r>
      <w:r w:rsidRPr="00752793">
        <w:softHyphen/>
        <w:t>կալ երկրի հետ տարեկան առևտրաշրջա</w:t>
      </w:r>
      <w:r w:rsidRPr="00752793">
        <w:softHyphen/>
        <w:t>նա</w:t>
      </w:r>
      <w:r w:rsidRPr="00752793">
        <w:softHyphen/>
        <w:t xml:space="preserve">ռությունն ավելացնել 30-35%-ով։ </w:t>
      </w:r>
      <w:r w:rsidRPr="00752793">
        <w:lastRenderedPageBreak/>
        <w:t>Այնուամենայնիվ, 2022թ. ՀՀ առևտրային ներկա</w:t>
      </w:r>
      <w:r w:rsidRPr="00752793">
        <w:softHyphen/>
        <w:t>յա</w:t>
      </w:r>
      <w:r w:rsidRPr="00752793">
        <w:softHyphen/>
        <w:t>ցուց</w:t>
      </w:r>
      <w:r w:rsidRPr="00752793">
        <w:softHyphen/>
        <w:t>չությունների նպատակների և խնդիր</w:t>
      </w:r>
      <w:r w:rsidRPr="00752793">
        <w:softHyphen/>
        <w:t>նե</w:t>
      </w:r>
      <w:r w:rsidRPr="00752793">
        <w:softHyphen/>
        <w:t>րի իրագործման բյուջետային միջոցառման կա</w:t>
      </w:r>
      <w:r w:rsidRPr="00752793">
        <w:softHyphen/>
        <w:t>տարողականը կազմել է 17.9%, ինչպես նաև օտարերկրյա պետություններում գործել են ՀՀ 2 առևտրային ներկայացուց</w:t>
      </w:r>
      <w:r w:rsidRPr="00752793">
        <w:softHyphen/>
        <w:t>չու</w:t>
      </w:r>
      <w:r w:rsidRPr="00752793">
        <w:softHyphen/>
        <w:t>թ</w:t>
      </w:r>
      <w:r w:rsidRPr="00752793">
        <w:softHyphen/>
        <w:t>յուն</w:t>
      </w:r>
      <w:r w:rsidRPr="00752793">
        <w:softHyphen/>
        <w:t>ներ՝ նախատեսված 5-ի փոխարեն։</w:t>
      </w:r>
      <w:r w:rsidRPr="00752793">
        <w:rPr>
          <w:rFonts w:eastAsia="Times New Roman" w:cs="Times New Roman"/>
          <w:lang w:eastAsia="ru-RU"/>
        </w:rPr>
        <w:t xml:space="preserve"> Նախատեսվող հաշվեքննության շրջանակներում գնահատվելու է տնտեսական դիվանագիտության զարգացմանն ուղղված պետության միջոցառումների արդյունավետությունը:</w:t>
      </w:r>
    </w:p>
    <w:p w14:paraId="4F29CE3D" w14:textId="77777777" w:rsidR="00DC32E9" w:rsidRPr="00752793" w:rsidRDefault="00DC32E9">
      <w:pPr>
        <w:pStyle w:val="Heading3"/>
      </w:pPr>
      <w:bookmarkStart w:id="17" w:name="_Toc216078353"/>
      <w:bookmarkStart w:id="18" w:name="_Toc216078714"/>
      <w:bookmarkStart w:id="19" w:name="_Toc216078941"/>
      <w:bookmarkStart w:id="20" w:name="_Toc216079008"/>
      <w:bookmarkStart w:id="21" w:name="_Toc216079252"/>
      <w:bookmarkStart w:id="22" w:name="_Toc216079293"/>
      <w:bookmarkStart w:id="23" w:name="_Toc216079294"/>
      <w:bookmarkEnd w:id="15"/>
      <w:bookmarkEnd w:id="17"/>
      <w:bookmarkEnd w:id="18"/>
      <w:bookmarkEnd w:id="19"/>
      <w:bookmarkEnd w:id="20"/>
      <w:bookmarkEnd w:id="21"/>
      <w:bookmarkEnd w:id="22"/>
      <w:r w:rsidRPr="00752793">
        <w:t>Սուբսիդիաների տրամադրման համակարգ</w:t>
      </w:r>
      <w:r w:rsidRPr="00752793">
        <w:rPr>
          <w:rStyle w:val="FootnoteReference"/>
          <w:sz w:val="22"/>
          <w:szCs w:val="22"/>
        </w:rPr>
        <w:footnoteReference w:id="26"/>
      </w:r>
      <w:bookmarkEnd w:id="23"/>
    </w:p>
    <w:p w14:paraId="11D9DD98" w14:textId="77777777" w:rsidR="00DC32E9" w:rsidRPr="00752793" w:rsidRDefault="00DC32E9" w:rsidP="00866885">
      <w:pPr>
        <w:keepNext/>
        <w:keepLines/>
        <w:spacing w:before="240" w:after="360"/>
        <w:rPr>
          <w:rStyle w:val="IntenseEmphasis"/>
        </w:rPr>
      </w:pPr>
      <w:r w:rsidRPr="00752793">
        <w:rPr>
          <w:rStyle w:val="IntenseEmphasis"/>
        </w:rPr>
        <w:t>Ծրագրի 5-րդ կետ՝ արդյունավետության գնահատում</w:t>
      </w:r>
    </w:p>
    <w:p w14:paraId="7A94F2E0" w14:textId="04CA9AAD" w:rsidR="00DC32E9" w:rsidRPr="00752793" w:rsidRDefault="00DC32E9" w:rsidP="00856E20">
      <w:pPr>
        <w:rPr>
          <w:lang w:bidi="hi-IN"/>
        </w:rPr>
      </w:pPr>
      <w:r w:rsidRPr="00752793">
        <w:rPr>
          <w:lang w:bidi="hi-IN"/>
        </w:rPr>
        <w:t>Սուբսիդավորումը Հայաստանի Հանրապետության պետական բյուջեի միջոցների հաշվին կազմակերպություններին ֆինանսական միջոցների տրամադրման գործիքներից է, որի կիրառությամբ 2024-2026թթ. միջնաժամկետ հորիզոնում նախատեսվում է ծախսել, ընդհանուր առմամբ, շուրջ կես տրիլիոն դրամի չափով բյուջետային միջոցներ: Սուբսիդիաների տրամադրման համակարգի գնահատումը և միջազգային լավագույն փորձի տեսանկյունից դրա զարգացմանը միտված առաջարկությունները պարունակում են բյուջետային առանձին ծրագրերի շրջանակներում իրականացվող սուբսիդավորման ծախսերի արդյունավետության բարձրացման զգալի ներուժ:</w:t>
      </w:r>
    </w:p>
    <w:p w14:paraId="3F3679A1" w14:textId="77777777" w:rsidR="00DC32E9" w:rsidRPr="00752793" w:rsidRDefault="00DC32E9" w:rsidP="00856E20">
      <w:pPr>
        <w:rPr>
          <w:lang w:bidi="hi-IN"/>
        </w:rPr>
      </w:pPr>
      <w:r w:rsidRPr="00752793">
        <w:rPr>
          <w:lang w:bidi="hi-IN"/>
        </w:rPr>
        <w:t>Թեման նախատեսված էր Հաշվեքննիչ պալատի 2025 թվականի գործունեության ծրագրում և տեղափոխվել է 2026 թվական։</w:t>
      </w:r>
    </w:p>
    <w:p w14:paraId="151FF6CB" w14:textId="77777777" w:rsidR="00DC32E9" w:rsidRPr="00443956" w:rsidRDefault="00DC32E9" w:rsidP="005659FD">
      <w:pPr>
        <w:pStyle w:val="Heading3"/>
        <w:rPr>
          <w:lang w:val="hy-AM"/>
        </w:rPr>
      </w:pPr>
      <w:bookmarkStart w:id="24" w:name="_Toc216079295"/>
      <w:r w:rsidRPr="00443956">
        <w:rPr>
          <w:lang w:val="hy-AM"/>
        </w:rPr>
        <w:t>Բյուջետային վարկերի և երաշխիքների տրամա</w:t>
      </w:r>
      <w:r w:rsidRPr="00443956">
        <w:rPr>
          <w:lang w:val="hy-AM"/>
        </w:rPr>
        <w:softHyphen/>
        <w:t>դրման համակարգ</w:t>
      </w:r>
      <w:r w:rsidRPr="00443956">
        <w:rPr>
          <w:b w:val="0"/>
          <w:bCs w:val="0"/>
          <w:sz w:val="24"/>
          <w:szCs w:val="24"/>
          <w:vertAlign w:val="superscript"/>
        </w:rPr>
        <w:footnoteReference w:id="27"/>
      </w:r>
      <w:bookmarkEnd w:id="24"/>
    </w:p>
    <w:p w14:paraId="064B8A1D" w14:textId="77777777" w:rsidR="00DC32E9" w:rsidRPr="00752793" w:rsidRDefault="00DC32E9" w:rsidP="00866885">
      <w:pPr>
        <w:keepNext/>
        <w:keepLines/>
        <w:spacing w:before="240" w:after="360"/>
        <w:ind w:left="2694" w:hanging="2127"/>
        <w:jc w:val="left"/>
        <w:rPr>
          <w:rStyle w:val="IntenseEmphasis"/>
        </w:rPr>
      </w:pPr>
      <w:r w:rsidRPr="00752793">
        <w:rPr>
          <w:rStyle w:val="IntenseEmphasis"/>
        </w:rPr>
        <w:t>Ծրագրի 6-րդ կետ՝ իրավական ակտերի և քաղաքացիաիրավական պայմանագրերի պահանջներին համապատասխանության գնահատում</w:t>
      </w:r>
    </w:p>
    <w:p w14:paraId="246318D3" w14:textId="77777777" w:rsidR="00DC32E9" w:rsidRPr="00752793" w:rsidRDefault="00DC32E9" w:rsidP="00856E20">
      <w:pPr>
        <w:rPr>
          <w:lang w:bidi="hi-IN"/>
        </w:rPr>
      </w:pPr>
      <w:r w:rsidRPr="00752793">
        <w:rPr>
          <w:lang w:bidi="hi-IN"/>
        </w:rPr>
        <w:t>Պետության հսկողության պահպանմամբ մասնավոր հատվածի կազմակերպությունների (և/կամ տեղական ինքնակառավարման մարմինների) կողմից իրականացվող ծրագրերին մասնակցության նպատակին ծառայող պետական ֆինանսների գործիքներից բյուջետային վարկերը և երաշխիքները, որպես օրինաչափություն, օգտագործվում են այն դեպքերում, երբ առևտրային ֆինանսաբանկային կազմակերպությունները չեն ֆինանսավորում ծրագրերը՝ ռիսկերի դժվար կառավարելի գնահատման արդյունքում, ինչով պայմանավորված այս գործիքների կիրառությունն ինքնին գնահատվում է ռիսկային։</w:t>
      </w:r>
    </w:p>
    <w:p w14:paraId="08BC1898" w14:textId="77777777" w:rsidR="00DC32E9" w:rsidRPr="00752793" w:rsidRDefault="00DC32E9" w:rsidP="00856E20">
      <w:pPr>
        <w:rPr>
          <w:lang w:bidi="hi-IN"/>
        </w:rPr>
      </w:pPr>
      <w:r w:rsidRPr="00752793">
        <w:rPr>
          <w:lang w:bidi="hi-IN"/>
        </w:rPr>
        <w:lastRenderedPageBreak/>
        <w:t>Գործունեության ծրագրում նշված թեմայով հաշվեքննության արդյունքում ակնկալվում է գնահատել բյուջետային վարկերի և երաշխիքների տրամադրման գործարքների համապատասխանությունը առկա կարգավորումներին, իսկ անհրաժեշտության դեպքում նաև՝ ներկայացնել համակարգը ձևավորող իրավական ակտերին համապատասխան գործելակերպի և/կամ ակտերի վերանայման ուղղությամբ առաջարկություններ։</w:t>
      </w:r>
    </w:p>
    <w:p w14:paraId="5BA7B2AE" w14:textId="54FE218E" w:rsidR="00DC32E9" w:rsidRPr="00752793" w:rsidRDefault="00DC32E9">
      <w:pPr>
        <w:pStyle w:val="Heading3"/>
        <w:rPr>
          <w:rFonts w:eastAsiaTheme="minorEastAsia"/>
          <w:i/>
        </w:rPr>
      </w:pPr>
      <w:bookmarkStart w:id="25" w:name="_Toc216079296"/>
      <w:r w:rsidRPr="00752793">
        <w:t>Տրանսպորտային միջոցների շահագործ</w:t>
      </w:r>
      <w:r w:rsidR="005659FD" w:rsidRPr="00752793">
        <w:t>ում</w:t>
      </w:r>
      <w:r w:rsidRPr="00752793">
        <w:rPr>
          <w:rStyle w:val="FootnoteReference"/>
          <w:sz w:val="22"/>
          <w:szCs w:val="22"/>
          <w:lang w:val="hy-AM"/>
        </w:rPr>
        <w:footnoteReference w:id="28"/>
      </w:r>
      <w:bookmarkEnd w:id="25"/>
      <w:r w:rsidRPr="00752793">
        <w:rPr>
          <w:rFonts w:cs="Sylfaen"/>
        </w:rPr>
        <w:t xml:space="preserve"> </w:t>
      </w:r>
    </w:p>
    <w:p w14:paraId="4B7EAD61" w14:textId="77777777" w:rsidR="00DC32E9" w:rsidRPr="00752793" w:rsidRDefault="00DC32E9" w:rsidP="00866885">
      <w:pPr>
        <w:keepNext/>
        <w:keepLines/>
        <w:spacing w:before="240" w:after="360"/>
        <w:ind w:left="2694" w:hanging="2127"/>
        <w:jc w:val="left"/>
        <w:rPr>
          <w:rStyle w:val="IntenseEmphasis"/>
        </w:rPr>
      </w:pPr>
      <w:r w:rsidRPr="00752793">
        <w:rPr>
          <w:rStyle w:val="IntenseEmphasis"/>
        </w:rPr>
        <w:t>Ծրագրի 7-րդ կետ՝ իրավական ակտերի և քաղաքացիաիրավական պայմանագրերի պահանջներին համապատասխանության գնահատում</w:t>
      </w:r>
    </w:p>
    <w:p w14:paraId="06FD8D8B" w14:textId="77777777" w:rsidR="00283A20" w:rsidRPr="00752793" w:rsidRDefault="00283A20" w:rsidP="00283A20">
      <w:pPr>
        <w:spacing w:after="0" w:line="276" w:lineRule="auto"/>
        <w:ind w:firstLine="539"/>
      </w:pPr>
      <w:r w:rsidRPr="00752793">
        <w:t>Հաշվեքննիչ պալատը, հաշվի առնելով պետական և համայնքների բյուջեների հաշվին շահագործվող տրանսպորտային միջոցների վերաբերյալ հանրային հաղորդակցության միջոցներում տևական անդրադարձը, ինչպես նաև ստացված ազդակները, վերլուծել է խնդրին վերաբերելի՝ բաց աղբյուրներում առկա տեղեկատվությունը և արձանագրել է, որ առկա են որոշակի ռիսկեր։ Մասնավորապես, աճել են տրանսպորտային միջոցների նորոգման և պահպանման ծախսերը, մեծ է մեկ անձից գնումների մասնաբաժինը, նկատվում են գների շեղումներ շուկայականից, ինչպես նաև զգալի է պայմանագրերի կենտրոնացման աստիճանը, որոնք կարող են հանգեցնել հանրային սեփականության կառավարման խնդիրների՝ խոչընդոտելով հանրային ֆինանսների արդյունավետ օգտագործման հնարավորությունը։</w:t>
      </w:r>
    </w:p>
    <w:p w14:paraId="6368027F" w14:textId="77777777" w:rsidR="00DC32E9" w:rsidRPr="00752793" w:rsidRDefault="00DC32E9" w:rsidP="00856E20">
      <w:r w:rsidRPr="00752793">
        <w:t>Հաշվեքննությամբ նախատեսվում է գնահատել տրանսպորտային միջոցների շահագործման, նորոգման, պահպանման գործարքների համապատասխանությունը՝ իրավական ակտերով և քաղաքացիաիրավական պայմանագրերով սահմանված պահանջներին։</w:t>
      </w:r>
    </w:p>
    <w:p w14:paraId="2834B348" w14:textId="77777777" w:rsidR="00DC32E9" w:rsidRPr="00752793" w:rsidRDefault="00DC32E9" w:rsidP="00856E20">
      <w:r w:rsidRPr="00752793">
        <w:t>Թեման Հաշվեքննիչ պալատի 2025 թվականի գործունեության ծրագրում ներառվել է լրացման արդյունքում</w:t>
      </w:r>
      <w:r w:rsidRPr="00752793">
        <w:rPr>
          <w:rStyle w:val="FootnoteReference"/>
          <w:i/>
        </w:rPr>
        <w:footnoteReference w:id="29"/>
      </w:r>
      <w:r w:rsidRPr="00752793">
        <w:t xml:space="preserve"> ու մեկնարկել է 2025 թվականին և նախատեսվում է ավարտել 2026 թվականին։ </w:t>
      </w:r>
    </w:p>
    <w:p w14:paraId="775B3A28" w14:textId="6A9DA5D7" w:rsidR="00DC32E9" w:rsidRPr="00752793" w:rsidRDefault="00793773" w:rsidP="00856E20">
      <w:pPr>
        <w:pStyle w:val="Subtitle"/>
        <w:rPr>
          <w:sz w:val="28"/>
          <w:szCs w:val="28"/>
        </w:rPr>
      </w:pPr>
      <w:bookmarkStart w:id="26" w:name="_Toc216078357"/>
      <w:bookmarkStart w:id="27" w:name="_Toc216078718"/>
      <w:bookmarkStart w:id="28" w:name="_Toc216078945"/>
      <w:bookmarkStart w:id="29" w:name="_Toc216079012"/>
      <w:bookmarkStart w:id="30" w:name="_Toc216079256"/>
      <w:bookmarkStart w:id="31" w:name="_Toc216079297"/>
      <w:bookmarkStart w:id="32" w:name="_Toc216078358"/>
      <w:bookmarkStart w:id="33" w:name="_Toc216078719"/>
      <w:bookmarkStart w:id="34" w:name="_Toc216078946"/>
      <w:bookmarkStart w:id="35" w:name="_Toc216079013"/>
      <w:bookmarkStart w:id="36" w:name="_Toc216079257"/>
      <w:bookmarkStart w:id="37" w:name="_Toc216079298"/>
      <w:bookmarkStart w:id="38" w:name="_Toc216078359"/>
      <w:bookmarkStart w:id="39" w:name="_Toc216078720"/>
      <w:bookmarkStart w:id="40" w:name="_Toc216078947"/>
      <w:bookmarkStart w:id="41" w:name="_Toc216079014"/>
      <w:bookmarkStart w:id="42" w:name="_Toc216079258"/>
      <w:bookmarkStart w:id="43" w:name="_Toc216079299"/>
      <w:bookmarkStart w:id="44" w:name="_Toc216078360"/>
      <w:bookmarkStart w:id="45" w:name="_Toc216078721"/>
      <w:bookmarkStart w:id="46" w:name="_Toc216078948"/>
      <w:bookmarkStart w:id="47" w:name="_Toc216079015"/>
      <w:bookmarkStart w:id="48" w:name="_Toc216079259"/>
      <w:bookmarkStart w:id="49" w:name="_Toc216079300"/>
      <w:bookmarkStart w:id="50" w:name="_Toc216078361"/>
      <w:bookmarkStart w:id="51" w:name="_Toc216078722"/>
      <w:bookmarkStart w:id="52" w:name="_Toc216078949"/>
      <w:bookmarkStart w:id="53" w:name="_Toc216079016"/>
      <w:bookmarkStart w:id="54" w:name="_Toc216079260"/>
      <w:bookmarkStart w:id="55" w:name="_Toc216079301"/>
      <w:bookmarkStart w:id="56" w:name="_Toc21607930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752793">
        <w:rPr>
          <w:sz w:val="28"/>
          <w:szCs w:val="28"/>
        </w:rPr>
        <w:t>Հաշվեքննություններ ՀՀ համայնք</w:t>
      </w:r>
      <w:r w:rsidR="007E1F16" w:rsidRPr="00443956">
        <w:rPr>
          <w:sz w:val="28"/>
          <w:szCs w:val="28"/>
        </w:rPr>
        <w:t>ներում</w:t>
      </w:r>
      <w:bookmarkEnd w:id="56"/>
    </w:p>
    <w:p w14:paraId="17AEDFA2" w14:textId="77777777" w:rsidR="00DC32E9" w:rsidRPr="00752793" w:rsidRDefault="00DC32E9" w:rsidP="00856E20">
      <w:r w:rsidRPr="00752793">
        <w:t xml:space="preserve">Համայնքների ֆինանսատնտեսական գործունեության հաշվեքննություններով արձանագրվել են համայնքային հողերի օտարման և վարձակալության գործարքների, ինչպես նաև համայնքների կողմից կազմակերպվող գնումների գործընթացների հետ կապված միատեսակ խնդիրներ, որոնք հաշվեքննության չենթարկված համայնքներում նույն բնույթի գործարքները ռիսկային համարելու հիմքեր են տալիս։ </w:t>
      </w:r>
    </w:p>
    <w:p w14:paraId="2AC61B3A" w14:textId="46673FB9" w:rsidR="00DC32E9" w:rsidRPr="00752793" w:rsidRDefault="00DC32E9" w:rsidP="00856E20">
      <w:r w:rsidRPr="00752793">
        <w:lastRenderedPageBreak/>
        <w:t>Դիրքորոշումն ամրապնդվել է նաև պայմանավորված այն հանգամանք</w:t>
      </w:r>
      <w:r w:rsidR="00283A20" w:rsidRPr="00752793">
        <w:t>ներ</w:t>
      </w:r>
      <w:r w:rsidRPr="00752793">
        <w:t xml:space="preserve">ով, որ </w:t>
      </w:r>
    </w:p>
    <w:p w14:paraId="0D0F5498" w14:textId="77777777" w:rsidR="00DC32E9" w:rsidRPr="00443956" w:rsidRDefault="00DC32E9">
      <w:pPr>
        <w:pStyle w:val="ListParagraph"/>
        <w:numPr>
          <w:ilvl w:val="0"/>
          <w:numId w:val="9"/>
        </w:numPr>
        <w:rPr>
          <w:lang w:val="hy-AM"/>
        </w:rPr>
      </w:pPr>
      <w:r w:rsidRPr="00443956">
        <w:rPr>
          <w:lang w:val="hy-AM"/>
        </w:rPr>
        <w:t>ՀՀ Ազգային ժողովի ֆինանսավարկային և բյուջետային ու տարածքային կառավարման, տեղական ինքնակառավարման, գյուղատնտեսության և շրջակա միջավայրի պահպանության հարցերի մշտական հանձնաժողովների 2025 թվականին հրավիրված համատեղ նիստում քննարկվել է Նաիրիի համայնքապետարանի ֆինանսատնտեսական գործունեության հաշվեքննության ընթացիկ եզրակացությունը, որում արծարծված են նաև հողային աճուրդների կազմակերպման, հողի օտարման գների և վարձակալության վճարների ձևավորման հետ կապված խնդիրները,</w:t>
      </w:r>
    </w:p>
    <w:p w14:paraId="202CFA80" w14:textId="77777777" w:rsidR="00DC32E9" w:rsidRPr="00443956" w:rsidRDefault="00DC32E9">
      <w:pPr>
        <w:pStyle w:val="ListParagraph"/>
        <w:numPr>
          <w:ilvl w:val="0"/>
          <w:numId w:val="9"/>
        </w:numPr>
        <w:rPr>
          <w:lang w:val="hy-AM"/>
        </w:rPr>
      </w:pPr>
      <w:r w:rsidRPr="00443956">
        <w:rPr>
          <w:lang w:val="hy-AM"/>
        </w:rPr>
        <w:t xml:space="preserve">քննարկումը հանրային հնչեղություն է ստացել լուսաբանվելով մեդիա միջոցներով, </w:t>
      </w:r>
    </w:p>
    <w:p w14:paraId="7892CB93" w14:textId="77777777" w:rsidR="00DC32E9" w:rsidRPr="00443956" w:rsidRDefault="00DC32E9">
      <w:pPr>
        <w:pStyle w:val="ListParagraph"/>
        <w:numPr>
          <w:ilvl w:val="0"/>
          <w:numId w:val="9"/>
        </w:numPr>
        <w:rPr>
          <w:lang w:val="hy-AM"/>
        </w:rPr>
      </w:pPr>
      <w:r w:rsidRPr="00443956">
        <w:rPr>
          <w:lang w:val="hy-AM"/>
        </w:rPr>
        <w:t>ինչը նաև առիթ է հանդիսացել խնդիրը համակարգային գնահատելու և ՀՀ Ազգային ժողովի պատգամավոր տիկին Արուսյակ Մանավազյանի կողմից Հաշվեքննիչ պալատի գործունեության ծրագրում հարցը ներառելու վերաբերյալ առաջարկ ներկայացնելու համար։</w:t>
      </w:r>
    </w:p>
    <w:p w14:paraId="2A0DB9CC" w14:textId="77A803DA" w:rsidR="00DC32E9" w:rsidRPr="00752793" w:rsidRDefault="000B6B0C" w:rsidP="00856E20">
      <w:pPr>
        <w:rPr>
          <w:lang w:eastAsia="ru-RU"/>
        </w:rPr>
      </w:pPr>
      <w:r w:rsidRPr="00752793">
        <w:rPr>
          <w:lang w:eastAsia="ru-RU"/>
        </w:rPr>
        <w:t xml:space="preserve">Վերոնշյալը հաշվի առնելով և </w:t>
      </w:r>
      <w:r w:rsidRPr="00752793">
        <w:t>հանրությանը՝ ծառայությունների մատուցումը մարդակենտրոն դարձնելու նպատակադրումների առաջընթացը գնահատելու նպատակով նախատեսվել են ստորև ներկայացված հաշվեքննությունների թեմաները։</w:t>
      </w:r>
    </w:p>
    <w:p w14:paraId="6B9D9F39" w14:textId="77777777" w:rsidR="00DC32E9" w:rsidRPr="00443956" w:rsidRDefault="00DC32E9">
      <w:pPr>
        <w:pStyle w:val="Heading3"/>
        <w:rPr>
          <w:lang w:val="hy-AM"/>
        </w:rPr>
      </w:pPr>
      <w:bookmarkStart w:id="57" w:name="_Toc216078366"/>
      <w:bookmarkStart w:id="58" w:name="_Toc216078727"/>
      <w:bookmarkStart w:id="59" w:name="_Toc216078954"/>
      <w:bookmarkStart w:id="60" w:name="_Toc216079021"/>
      <w:bookmarkStart w:id="61" w:name="_Toc216079265"/>
      <w:bookmarkStart w:id="62" w:name="_Toc216079306"/>
      <w:bookmarkStart w:id="63" w:name="_Toc216078367"/>
      <w:bookmarkStart w:id="64" w:name="_Toc216078728"/>
      <w:bookmarkStart w:id="65" w:name="_Toc216078955"/>
      <w:bookmarkStart w:id="66" w:name="_Toc216079022"/>
      <w:bookmarkStart w:id="67" w:name="_Toc216079266"/>
      <w:bookmarkStart w:id="68" w:name="_Toc216079307"/>
      <w:bookmarkStart w:id="69" w:name="_Toc216078368"/>
      <w:bookmarkStart w:id="70" w:name="_Toc216078729"/>
      <w:bookmarkStart w:id="71" w:name="_Toc216078956"/>
      <w:bookmarkStart w:id="72" w:name="_Toc216079023"/>
      <w:bookmarkStart w:id="73" w:name="_Toc216079267"/>
      <w:bookmarkStart w:id="74" w:name="_Toc216079308"/>
      <w:bookmarkStart w:id="75" w:name="_Toc216078369"/>
      <w:bookmarkStart w:id="76" w:name="_Toc216078730"/>
      <w:bookmarkStart w:id="77" w:name="_Toc216078957"/>
      <w:bookmarkStart w:id="78" w:name="_Toc216079024"/>
      <w:bookmarkStart w:id="79" w:name="_Toc216079268"/>
      <w:bookmarkStart w:id="80" w:name="_Toc216079309"/>
      <w:bookmarkStart w:id="81" w:name="_Toc216079302"/>
      <w:bookmarkStart w:id="82" w:name="_Toc21607931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443956">
        <w:rPr>
          <w:lang w:val="hy-AM" w:bidi="hi-IN"/>
        </w:rPr>
        <w:t>Երևան քաղաքի</w:t>
      </w:r>
      <w:bookmarkEnd w:id="81"/>
      <w:r w:rsidRPr="00443956">
        <w:rPr>
          <w:lang w:val="hy-AM" w:bidi="hi-IN"/>
        </w:rPr>
        <w:t xml:space="preserve"> </w:t>
      </w:r>
      <w:bookmarkStart w:id="83" w:name="_Toc216078363"/>
      <w:bookmarkStart w:id="84" w:name="_Toc216078724"/>
      <w:bookmarkStart w:id="85" w:name="_Toc216078951"/>
      <w:bookmarkStart w:id="86" w:name="_Toc216079018"/>
      <w:bookmarkStart w:id="87" w:name="_Toc216079262"/>
      <w:bookmarkStart w:id="88" w:name="_Toc216079303"/>
      <w:bookmarkStart w:id="89" w:name="_Toc216079304"/>
      <w:bookmarkEnd w:id="83"/>
      <w:bookmarkEnd w:id="84"/>
      <w:bookmarkEnd w:id="85"/>
      <w:bookmarkEnd w:id="86"/>
      <w:bookmarkEnd w:id="87"/>
      <w:bookmarkEnd w:id="88"/>
      <w:r w:rsidRPr="00443956">
        <w:rPr>
          <w:lang w:val="hy-AM"/>
        </w:rPr>
        <w:t>Խելացի քաղաք ռազմավարական ծրագիրը</w:t>
      </w:r>
      <w:r w:rsidRPr="00443956">
        <w:rPr>
          <w:rStyle w:val="FootnoteReference"/>
          <w:b w:val="0"/>
          <w:bCs w:val="0"/>
          <w:sz w:val="24"/>
          <w:szCs w:val="24"/>
          <w:lang w:val="hy-AM"/>
        </w:rPr>
        <w:footnoteReference w:id="30"/>
      </w:r>
      <w:bookmarkEnd w:id="89"/>
    </w:p>
    <w:p w14:paraId="18F23EED" w14:textId="77777777" w:rsidR="00DC32E9" w:rsidRPr="00752793" w:rsidRDefault="00DC32E9" w:rsidP="00866885">
      <w:pPr>
        <w:keepNext/>
        <w:keepLines/>
        <w:spacing w:before="240" w:after="360"/>
        <w:rPr>
          <w:rStyle w:val="IntenseEmphasis"/>
        </w:rPr>
      </w:pPr>
      <w:r w:rsidRPr="00752793">
        <w:rPr>
          <w:rStyle w:val="IntenseEmphasis"/>
        </w:rPr>
        <w:t>Ծրագրի 8-րդ կետ՝ արդյունավետության գնահատում</w:t>
      </w:r>
    </w:p>
    <w:p w14:paraId="566FE38D" w14:textId="210A15AA" w:rsidR="00DC32E9" w:rsidRPr="00752793" w:rsidRDefault="00DC32E9" w:rsidP="00856E20">
      <w:r w:rsidRPr="00752793">
        <w:t>Թեմայի էականությունը պայմանավորված է թվային փոխակերպումների՝ Հանրապետության ամենամեծ համայնքում կառավարման արդյունավետության բարձրացման վրա ազդեցության մեծ ներուժով: Այն հանդիսանում է Երևան քաղաքի զարգացման 2023 թվականի ծրագրի հիմնական ուղղություններից մեկը: Ծրագրի կատարողականի գնահատումը, ինչպես նաև առկա հիմնախնդիրների (այդ թվում՝ կիբե</w:t>
      </w:r>
      <w:r w:rsidR="00443956" w:rsidRPr="00443956">
        <w:t>ր</w:t>
      </w:r>
      <w:r w:rsidRPr="00752793">
        <w:t>անվտանգություն, մարդկային ռեսուրսների սղություն) հասցեագրումը պարունակում է բարելավման նշանակալի ներուժ:</w:t>
      </w:r>
    </w:p>
    <w:p w14:paraId="1D798A7E" w14:textId="77777777" w:rsidR="00DC32E9" w:rsidRPr="00752793" w:rsidRDefault="00DC32E9" w:rsidP="00856E20">
      <w:r w:rsidRPr="00752793">
        <w:t>Թեման նախատեսված էր Հաշվեքննիչ պալատի 2025 թվականի գործունեության ծրագրում և տեղափոխվել է 2026 թվական։</w:t>
      </w:r>
    </w:p>
    <w:p w14:paraId="7AFFC3CA" w14:textId="32791583" w:rsidR="00DC32E9" w:rsidRPr="00443956" w:rsidRDefault="000B6B0C">
      <w:pPr>
        <w:pStyle w:val="Heading3"/>
        <w:rPr>
          <w:lang w:val="hy-AM"/>
        </w:rPr>
      </w:pPr>
      <w:r w:rsidRPr="00443956">
        <w:rPr>
          <w:lang w:val="hy-AM" w:bidi="hi-IN"/>
        </w:rPr>
        <w:lastRenderedPageBreak/>
        <w:t xml:space="preserve">ՀՀ մարզերի </w:t>
      </w:r>
      <w:r w:rsidRPr="00443956">
        <w:rPr>
          <w:lang w:val="hy-AM"/>
        </w:rPr>
        <w:t>հ</w:t>
      </w:r>
      <w:r w:rsidR="00DC32E9" w:rsidRPr="00443956">
        <w:rPr>
          <w:lang w:val="hy-AM"/>
        </w:rPr>
        <w:t>ամայնքային սեփականություն հանդիսացող հողամասերի օտարում և վարձակալություն</w:t>
      </w:r>
      <w:r w:rsidR="00DC32E9" w:rsidRPr="00443956">
        <w:rPr>
          <w:rStyle w:val="FootnoteReference"/>
          <w:b w:val="0"/>
          <w:bCs w:val="0"/>
          <w:sz w:val="24"/>
          <w:szCs w:val="22"/>
        </w:rPr>
        <w:footnoteReference w:id="31"/>
      </w:r>
      <w:bookmarkEnd w:id="82"/>
    </w:p>
    <w:p w14:paraId="41071804" w14:textId="77777777" w:rsidR="00DC32E9" w:rsidRPr="00752793" w:rsidRDefault="00DC32E9" w:rsidP="00866885">
      <w:pPr>
        <w:keepNext/>
        <w:keepLines/>
        <w:spacing w:before="240" w:after="360"/>
        <w:rPr>
          <w:rStyle w:val="IntenseEmphasis"/>
        </w:rPr>
      </w:pPr>
      <w:r w:rsidRPr="00752793">
        <w:rPr>
          <w:rStyle w:val="IntenseEmphasis"/>
        </w:rPr>
        <w:t>Ծրագրի 9-րդ կետ՝ արդյունավետության գնահատում</w:t>
      </w:r>
    </w:p>
    <w:p w14:paraId="1FAD410F" w14:textId="0BC56154" w:rsidR="00DC32E9" w:rsidRPr="00752793" w:rsidRDefault="00DC32E9" w:rsidP="00856E20">
      <w:r w:rsidRPr="00752793">
        <w:t xml:space="preserve">Համայնքային սեփականություն հանդիսացող հողամասերի օտարման և վարձակալության տրամադրման գործընթացի ընդգրկումը Հաշվեքննիչ պալատի 2026 թվականի գործունեության ծրագրում հնարավորություն է տալու գնահատել համայնքներում հողերի օտարման և վարձակալության գործընթացների արդյունավետությունը և ներկայացնել առաջարկություններ՝ </w:t>
      </w:r>
      <w:r w:rsidR="000B6B0C" w:rsidRPr="00752793">
        <w:t xml:space="preserve">նպատակ ունենալով </w:t>
      </w:r>
      <w:r w:rsidRPr="00752793">
        <w:t>նպաստել նաև խորհրդարանական թիրախային վերահսկողության գործին։</w:t>
      </w:r>
    </w:p>
    <w:p w14:paraId="73A84E0D" w14:textId="088C9E6F" w:rsidR="00DC32E9" w:rsidRPr="00752793" w:rsidRDefault="00D06B40">
      <w:pPr>
        <w:pStyle w:val="Heading3"/>
      </w:pPr>
      <w:bookmarkStart w:id="90" w:name="_Toc216079311"/>
      <w:r w:rsidRPr="00443956">
        <w:rPr>
          <w:lang w:val="hy-AM"/>
        </w:rPr>
        <w:t xml:space="preserve"> </w:t>
      </w:r>
      <w:r w:rsidR="00DC32E9" w:rsidRPr="00752793">
        <w:t xml:space="preserve">ՀՀ </w:t>
      </w:r>
      <w:r w:rsidR="000B6B0C" w:rsidRPr="00752793">
        <w:t xml:space="preserve">մարզերի համայնքապետարանների </w:t>
      </w:r>
      <w:r w:rsidR="00DC32E9" w:rsidRPr="00752793">
        <w:t>գնումների գործընթաց</w:t>
      </w:r>
      <w:bookmarkEnd w:id="90"/>
    </w:p>
    <w:p w14:paraId="1AC75152" w14:textId="77777777" w:rsidR="00DC32E9" w:rsidRPr="00752793" w:rsidRDefault="00DC32E9" w:rsidP="00866885">
      <w:pPr>
        <w:keepNext/>
        <w:keepLines/>
        <w:spacing w:before="240" w:after="360"/>
        <w:ind w:left="2835" w:hanging="2268"/>
        <w:jc w:val="left"/>
        <w:rPr>
          <w:rStyle w:val="IntenseEmphasis"/>
          <w:b w:val="0"/>
          <w:bCs/>
          <w:sz w:val="26"/>
        </w:rPr>
      </w:pPr>
      <w:bookmarkStart w:id="91" w:name="_Toc216078371"/>
      <w:bookmarkStart w:id="92" w:name="_Toc216078732"/>
      <w:bookmarkStart w:id="93" w:name="_Toc216078959"/>
      <w:bookmarkStart w:id="94" w:name="_Toc216078372"/>
      <w:bookmarkStart w:id="95" w:name="_Toc216078733"/>
      <w:bookmarkStart w:id="96" w:name="_Toc216078960"/>
      <w:bookmarkStart w:id="97" w:name="_Toc216078373"/>
      <w:bookmarkStart w:id="98" w:name="_Toc216078734"/>
      <w:bookmarkStart w:id="99" w:name="_Toc216078961"/>
      <w:bookmarkStart w:id="100" w:name="_Toc216078374"/>
      <w:bookmarkStart w:id="101" w:name="_Toc216078735"/>
      <w:bookmarkStart w:id="102" w:name="_Toc216078962"/>
      <w:bookmarkStart w:id="103" w:name="_Toc216078375"/>
      <w:bookmarkStart w:id="104" w:name="_Toc216078736"/>
      <w:bookmarkStart w:id="105" w:name="_Toc216078963"/>
      <w:bookmarkStart w:id="106" w:name="_Toc216078376"/>
      <w:bookmarkStart w:id="107" w:name="_Toc216078737"/>
      <w:bookmarkStart w:id="108" w:name="_Toc216078964"/>
      <w:bookmarkStart w:id="109" w:name="_Toc216078377"/>
      <w:bookmarkStart w:id="110" w:name="_Toc216078738"/>
      <w:bookmarkStart w:id="111" w:name="_Toc216078965"/>
      <w:bookmarkStart w:id="112" w:name="_Toc216078378"/>
      <w:bookmarkStart w:id="113" w:name="_Toc216078739"/>
      <w:bookmarkStart w:id="114" w:name="_Toc216078966"/>
      <w:bookmarkStart w:id="115" w:name="_Toc216078379"/>
      <w:bookmarkStart w:id="116" w:name="_Toc216078740"/>
      <w:bookmarkStart w:id="117" w:name="_Toc216078967"/>
      <w:bookmarkStart w:id="118" w:name="_Toc216078380"/>
      <w:bookmarkStart w:id="119" w:name="_Toc216078741"/>
      <w:bookmarkStart w:id="120" w:name="_Toc216078968"/>
      <w:bookmarkStart w:id="121" w:name="_Toc216078381"/>
      <w:bookmarkStart w:id="122" w:name="_Toc216078742"/>
      <w:bookmarkStart w:id="123" w:name="_Toc216078969"/>
      <w:bookmarkStart w:id="124" w:name="_Toc216078382"/>
      <w:bookmarkStart w:id="125" w:name="_Toc216078743"/>
      <w:bookmarkStart w:id="126" w:name="_Toc21607897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752793">
        <w:rPr>
          <w:rStyle w:val="IntenseEmphasis"/>
        </w:rPr>
        <w:t>Ծրագրի 10-րդ կետ՝ իրավական ակտերի և քաղաքացիաիրավական պայմանագրերի պահանջներին համապատասխանության գնահատում</w:t>
      </w:r>
    </w:p>
    <w:p w14:paraId="45C7FB95" w14:textId="77777777" w:rsidR="00DC32E9" w:rsidRPr="00752793" w:rsidRDefault="00DC32E9" w:rsidP="00856E20">
      <w:pPr>
        <w:rPr>
          <w:lang w:bidi="hi-IN"/>
        </w:rPr>
      </w:pPr>
      <w:r w:rsidRPr="00752793">
        <w:t xml:space="preserve">Հաշվեքննիչ պալատի կողմից </w:t>
      </w:r>
      <w:r w:rsidRPr="00752793">
        <w:rPr>
          <w:lang w:bidi="hi-IN"/>
        </w:rPr>
        <w:t>2025 թվականի դեկտեմբերի 1-ի դրությամբ հավաքագրված տվյալների վերլուծությունը ցույց է տալիս, որ համայնքներում իրականացված գնումների գործընթացներում առկա են մի շարք համակարգային ռիսկեր։ Մասնավորապես՝ նկատվում է հրատապ և ոչ մրցակցային ընթացակարգերի հաճախակի կիրառում, մրցակցային դաշտի սահմանափակման և հսկողական մեխանիզմների անկատարության և/կամ չկիրառելու ռիսկեր։ Այս հանգամանքները կարող են անդրադառնալ գնային առաջարկների համարժեքության, գործընթացների թափանցիկության և որոշումների հիմնավորվածության վրա։</w:t>
      </w:r>
    </w:p>
    <w:p w14:paraId="240B50FB" w14:textId="77777777" w:rsidR="00DC32E9" w:rsidRPr="00752793" w:rsidRDefault="00DC32E9" w:rsidP="00856E20">
      <w:pPr>
        <w:rPr>
          <w:lang w:bidi="hi-IN"/>
        </w:rPr>
      </w:pPr>
      <w:r w:rsidRPr="00752793">
        <w:rPr>
          <w:rFonts w:cs="Times New Roman"/>
        </w:rPr>
        <w:t xml:space="preserve">Ըստ այդմ, համայնքների գնումների գործընթացի ընդգրկումը </w:t>
      </w:r>
      <w:r w:rsidRPr="00752793">
        <w:rPr>
          <w:lang w:bidi="hi-IN"/>
        </w:rPr>
        <w:t xml:space="preserve">Հաշվեքննիչ պալատի 2026 թվականի գործունեության ծրագրում հնարավորություն է տալու գնահատել համայնքների կողմից իրականացված գնումների ընթացակարգերի ընտրության հիմնավորվածության, պայմանագրերի կնքման և կատարման կարգի պահպանման, գնային որոշումների փաստարկվածության, մրցակցության սահմանափակման, ինչպես նաև շահերի բախման հնարավոր ռիսկերը։ </w:t>
      </w:r>
    </w:p>
    <w:p w14:paraId="4F697516" w14:textId="77777777" w:rsidR="00DC32E9" w:rsidRPr="00752793" w:rsidRDefault="00DC32E9">
      <w:pPr>
        <w:pStyle w:val="Heading3"/>
        <w:rPr>
          <w:lang w:bidi="hi-IN"/>
        </w:rPr>
      </w:pPr>
      <w:bookmarkStart w:id="127" w:name="_Toc216079312"/>
      <w:r w:rsidRPr="00752793">
        <w:rPr>
          <w:lang w:bidi="hi-IN"/>
        </w:rPr>
        <w:lastRenderedPageBreak/>
        <w:t>Ապարանի համայնքապետարանի ֆինանսատնտեսական գործունեություն</w:t>
      </w:r>
      <w:bookmarkEnd w:id="127"/>
    </w:p>
    <w:p w14:paraId="1BBDAC01" w14:textId="77777777" w:rsidR="00DC32E9" w:rsidRPr="00752793" w:rsidRDefault="00DC32E9" w:rsidP="00866885">
      <w:pPr>
        <w:keepNext/>
        <w:keepLines/>
        <w:spacing w:before="240" w:after="360"/>
        <w:ind w:left="2835" w:hanging="2268"/>
        <w:jc w:val="left"/>
        <w:rPr>
          <w:rStyle w:val="IntenseEmphasis"/>
          <w:b w:val="0"/>
          <w:bCs/>
          <w:sz w:val="26"/>
        </w:rPr>
      </w:pPr>
      <w:bookmarkStart w:id="128" w:name="_Toc216078385"/>
      <w:bookmarkStart w:id="129" w:name="_Toc216078746"/>
      <w:bookmarkStart w:id="130" w:name="_Toc216078395"/>
      <w:bookmarkStart w:id="131" w:name="_Toc216078756"/>
      <w:bookmarkEnd w:id="128"/>
      <w:bookmarkEnd w:id="129"/>
      <w:bookmarkEnd w:id="130"/>
      <w:bookmarkEnd w:id="131"/>
      <w:r w:rsidRPr="00752793">
        <w:rPr>
          <w:rStyle w:val="IntenseEmphasis"/>
        </w:rPr>
        <w:t>Ծրագրի 11-րդ կետ՝ ֆինանսական հաշվետվության և իրավական ակտերի ու քաղաքացիաիրավական պայմանագրերի պահանջներին համապատասխանության գնահատում</w:t>
      </w:r>
    </w:p>
    <w:p w14:paraId="7CCD5591" w14:textId="77777777" w:rsidR="00DC32E9" w:rsidRPr="00752793" w:rsidRDefault="00DC32E9" w:rsidP="00856E20">
      <w:r w:rsidRPr="00752793">
        <w:t>Հաշվեքննիչ պալատի ռիսկերի վրա հիմնված թեմաների ընտրության մեթոդաբանության</w:t>
      </w:r>
      <w:r w:rsidRPr="00752793">
        <w:rPr>
          <w:vertAlign w:val="superscript"/>
        </w:rPr>
        <w:footnoteReference w:id="32"/>
      </w:r>
      <w:r w:rsidRPr="00752793">
        <w:t xml:space="preserve"> համաձայն, յուրաքանչյուր տարվա գործունեության ծրագրում պետք է նախատեսվի միմյանց չկրկնող առնվազն մեկ համայնքապետարանի ֆինանսատնտեսական գործու</w:t>
      </w:r>
      <w:r w:rsidRPr="00752793">
        <w:softHyphen/>
        <w:t>նեու</w:t>
      </w:r>
      <w:r w:rsidRPr="00752793">
        <w:softHyphen/>
        <w:t xml:space="preserve">թյան նկատմամբ հաշվեքննության թեմա՝ հաշվի առնելով հետևյալ չափանիշները. </w:t>
      </w:r>
    </w:p>
    <w:p w14:paraId="6C5883C0"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պետական բյուջեից ֆինանսավորված դոտացիայի գումարի չափը,</w:t>
      </w:r>
    </w:p>
    <w:p w14:paraId="1AC34221"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ֆոնդային բյուջեի տեսակարար կշիռը ընդհանուր համայնքային բյուջեում,</w:t>
      </w:r>
    </w:p>
    <w:p w14:paraId="4FCCBCAF"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աշխատանքի վարձատրության և հավասարեցված վճարներից բացի ծախսերի տեսակարար կշիռը վարչական ծախսերում,</w:t>
      </w:r>
    </w:p>
    <w:p w14:paraId="7C6F7776"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պետական բյուջեից հատկացված սուբվենցիաների և այլ միջոցների չափը,</w:t>
      </w:r>
    </w:p>
    <w:p w14:paraId="5B46EDAA"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ոչ ֆինանսական ակտիվների իրացումից մուտքերի չափը,</w:t>
      </w:r>
    </w:p>
    <w:p w14:paraId="4B188014" w14:textId="77777777"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համայնքի ղեկավարին պատվիրակված լիազորությունների իրականացման նպատակով՝ պետական բյուջեից հատկացված միջոցների չափը,</w:t>
      </w:r>
    </w:p>
    <w:p w14:paraId="05F659A2" w14:textId="67A98962" w:rsidR="00DC32E9" w:rsidRPr="00AB79B8" w:rsidRDefault="00DC32E9" w:rsidP="00DC32E9">
      <w:pPr>
        <w:pStyle w:val="Default"/>
        <w:numPr>
          <w:ilvl w:val="0"/>
          <w:numId w:val="5"/>
        </w:numPr>
        <w:tabs>
          <w:tab w:val="left" w:pos="851"/>
        </w:tabs>
        <w:spacing w:after="0" w:line="240" w:lineRule="auto"/>
        <w:ind w:left="811" w:hanging="272"/>
        <w:jc w:val="both"/>
        <w:rPr>
          <w:rFonts w:ascii="GHEA Grapalat" w:hAnsi="GHEA Grapalat" w:cs="Times New Roman"/>
          <w:sz w:val="24"/>
          <w:szCs w:val="24"/>
          <w:lang w:val="hy-AM"/>
        </w:rPr>
      </w:pPr>
      <w:r w:rsidRPr="00AB79B8">
        <w:rPr>
          <w:rFonts w:ascii="GHEA Grapalat" w:hAnsi="GHEA Grapalat" w:cs="Times New Roman"/>
          <w:sz w:val="24"/>
          <w:szCs w:val="24"/>
          <w:lang w:val="hy-AM"/>
        </w:rPr>
        <w:t xml:space="preserve">զանգվածային լրատվության միջոցներով լուսաբանվող հանրության վերաբերմունքը ծրագրի իրականացման ընթացքի վերաբերյալ </w:t>
      </w:r>
      <w:r w:rsidR="00443956" w:rsidRPr="00443956">
        <w:rPr>
          <w:rFonts w:ascii="GHEA Grapalat" w:hAnsi="GHEA Grapalat" w:cs="Times New Roman"/>
          <w:sz w:val="24"/>
          <w:szCs w:val="24"/>
          <w:lang w:val="hy-AM"/>
        </w:rPr>
        <w:t>(</w:t>
      </w:r>
      <w:r w:rsidRPr="00AB79B8">
        <w:rPr>
          <w:rFonts w:ascii="GHEA Grapalat" w:hAnsi="GHEA Grapalat" w:cs="Times New Roman"/>
          <w:sz w:val="24"/>
          <w:szCs w:val="24"/>
          <w:lang w:val="hy-AM"/>
        </w:rPr>
        <w:t>եթե ծրագրի նախագծի կազմման պահի դրությամբ հանրության վերաբերմունքը ծրագրի նկատմամբ բացասական է, ապա առաջնահերթությունը բարձր է, եթե չեզոք է՝ միջին, եթե դրական է՝ ցածր</w:t>
      </w:r>
      <w:r w:rsidR="00443956" w:rsidRPr="00443956">
        <w:rPr>
          <w:rFonts w:ascii="GHEA Grapalat" w:hAnsi="GHEA Grapalat" w:cs="Times New Roman"/>
          <w:sz w:val="24"/>
          <w:szCs w:val="24"/>
          <w:lang w:val="hy-AM"/>
        </w:rPr>
        <w:t>)</w:t>
      </w:r>
      <w:r w:rsidRPr="00AB79B8">
        <w:rPr>
          <w:rFonts w:ascii="GHEA Grapalat" w:hAnsi="GHEA Grapalat" w:cs="Times New Roman"/>
          <w:sz w:val="24"/>
          <w:szCs w:val="24"/>
          <w:lang w:val="hy-AM"/>
        </w:rPr>
        <w:t>։</w:t>
      </w:r>
    </w:p>
    <w:p w14:paraId="56D95193" w14:textId="726DC878" w:rsidR="00DC32E9" w:rsidRPr="00752793" w:rsidRDefault="00DC32E9" w:rsidP="00856E20">
      <w:r w:rsidRPr="00752793">
        <w:t>Համայնքապետարանի ընտրության նպատակով վերլուծվել են 2024թ. տարեկան ցուցանիշները (գործունեության ծրագրի մշակման և հաստատման պահին չէին կարող հասանելի լինել 2025թ. ցուցանիշները)։ Արդյունքում, առնվազն երեք չափանիշով ամենամեծ ցուցանիշ ունենալու հանգամանքով պայմանավորված ծրագրում ներառվել Արագածոտնի մարզի Ապարանի համայնքապետարանի ֆինանսատնտեսական գործունեության հաշվեքննության թեման։</w:t>
      </w:r>
    </w:p>
    <w:p w14:paraId="35F1428C" w14:textId="484CC18B" w:rsidR="00DC32E9" w:rsidRPr="00752793" w:rsidRDefault="00CF656C" w:rsidP="00866885">
      <w:pPr>
        <w:pStyle w:val="Subtitle"/>
        <w:ind w:left="567" w:firstLine="0"/>
        <w:rPr>
          <w:sz w:val="28"/>
          <w:szCs w:val="28"/>
        </w:rPr>
      </w:pPr>
      <w:r w:rsidRPr="00752793">
        <w:rPr>
          <w:sz w:val="28"/>
          <w:szCs w:val="28"/>
        </w:rPr>
        <w:t xml:space="preserve">Հաշվեքննիչ պալատի </w:t>
      </w:r>
      <w:r w:rsidR="00AB79B8">
        <w:rPr>
          <w:sz w:val="28"/>
          <w:szCs w:val="28"/>
        </w:rPr>
        <w:t>2025 թվականի գ</w:t>
      </w:r>
      <w:r w:rsidR="0090651D" w:rsidRPr="00752793">
        <w:rPr>
          <w:sz w:val="28"/>
          <w:szCs w:val="28"/>
        </w:rPr>
        <w:t>ործունեության ծրագր</w:t>
      </w:r>
      <w:r w:rsidR="00AB79B8">
        <w:rPr>
          <w:sz w:val="28"/>
          <w:szCs w:val="28"/>
        </w:rPr>
        <w:t>ում ներառված և չմեկնարկած ու 2026 թվականի ծրագիր չտեղափոխված</w:t>
      </w:r>
      <w:r w:rsidR="0090651D" w:rsidRPr="00752793">
        <w:rPr>
          <w:sz w:val="28"/>
          <w:szCs w:val="28"/>
        </w:rPr>
        <w:t xml:space="preserve"> թեմաներ</w:t>
      </w:r>
    </w:p>
    <w:p w14:paraId="32021B59" w14:textId="5327A4C9" w:rsidR="00DC32E9" w:rsidRPr="00752793" w:rsidRDefault="00DC32E9" w:rsidP="00856E20">
      <w:r w:rsidRPr="00752793">
        <w:t xml:space="preserve">Հաշվեքննիչ պալատի 2026 թվականի գործունեության ծրագրի ձևավորման գործընթացում իրականացվել է թեմաների համապարփակ վերլուծություն՝ հիմք ընդունելով Հաշվեքննության </w:t>
      </w:r>
      <w:r w:rsidRPr="00752793">
        <w:lastRenderedPageBreak/>
        <w:t xml:space="preserve">2026–2028թթ. առաջնահերթությունների վերաբերյալ պետական կառավարման մարմիններից ստացված գրավոր արձագանքները, ինչպես նաև տվյալ ոլորտներում ընթացող </w:t>
      </w:r>
      <w:r w:rsidR="006E70BF" w:rsidRPr="00752793">
        <w:t>գործընթացները</w:t>
      </w:r>
      <w:r w:rsidRPr="00752793">
        <w:t>։</w:t>
      </w:r>
    </w:p>
    <w:p w14:paraId="15DFECF7" w14:textId="77777777" w:rsidR="00DC32E9" w:rsidRPr="00752793" w:rsidRDefault="00DC32E9" w:rsidP="00856E20">
      <w:r w:rsidRPr="00752793">
        <w:t>Ծրագրի մշակման ընթացքում հաշվի է առնվել այն հանգամանքը, որ մի շարք թեմաներ ներառված էին նաև Հաշվեքննիչ պալատի 2025 թվականի գործունեության ծրագրում, սակայն դրանցից մի մասի դեպքում ոլորտային քաղաքականությունների իրականացումը գտնվում է ընթացակարգային ձևավորման և բարեփոխումների ակտիվ փուլում, ինչով պայմանավորված՝ հաշվեքննության իրականացումը տվյալ պահին կարող է չապահովել լիարժեք, օբյեկտիվ և չափելի արդյունքներ։</w:t>
      </w:r>
    </w:p>
    <w:p w14:paraId="4A928C15" w14:textId="77777777" w:rsidR="00DC32E9" w:rsidRPr="00752793" w:rsidRDefault="00DC32E9" w:rsidP="00856E20">
      <w:r w:rsidRPr="00752793">
        <w:t>Միաժամանակ, «Հաշվեքննության 2026–2028թթ. առաջնահերթությունները» նախագծային փաստաթուղթը արտաքին շրջանառության դնելիս ոլորտային նախարարություններից ստացվել են արձագանքներ, որոնց համաձայն՝ մի շարք ուղղություններով դեռևս չեն ավարտվել իրավական կարգավորումների վերանայման, գործիքների ներդրման կամ ինստիտուցիոնալ կարողությունների ձևավորման գործընթացները։ Այդ հանգամանքը հիմք է հանդիսացել առանձին թեմաների հաշվեքննությունն առավել նպատակահարմար ժամկետ տեղափոխելու համար։</w:t>
      </w:r>
    </w:p>
    <w:p w14:paraId="7314DEFD" w14:textId="77777777" w:rsidR="00DC32E9" w:rsidRPr="00752793" w:rsidRDefault="00DC32E9" w:rsidP="00856E20">
      <w:pPr>
        <w:rPr>
          <w:rFonts w:cs="Cambria Math"/>
        </w:rPr>
      </w:pPr>
      <w:r w:rsidRPr="00752793">
        <w:t>Վերոնշյալով պայմանավորված՝ Հաշվեքննիչ պալատի 2026 թվականի գործունեության ծրագրի 1-ին բաժնում չեն ներառվել հետևյալ թեմաները</w:t>
      </w:r>
      <w:r w:rsidRPr="00752793">
        <w:rPr>
          <w:rFonts w:ascii="Cambria Math" w:hAnsi="Cambria Math" w:cs="Cambria Math"/>
        </w:rPr>
        <w:t>․</w:t>
      </w:r>
    </w:p>
    <w:p w14:paraId="02BB7631" w14:textId="77777777" w:rsidR="00DC32E9" w:rsidRPr="00752793" w:rsidRDefault="00DC32E9" w:rsidP="00856E20"/>
    <w:p w14:paraId="6CB1E707" w14:textId="77777777" w:rsidR="00DC32E9" w:rsidRPr="00752793" w:rsidRDefault="00DC32E9" w:rsidP="00866885">
      <w:pPr>
        <w:ind w:left="567" w:hanging="567"/>
        <w:rPr>
          <w:b/>
          <w:bCs/>
        </w:rPr>
      </w:pPr>
      <w:r w:rsidRPr="00752793">
        <w:rPr>
          <w:b/>
          <w:bCs/>
          <w:lang w:bidi="hi-IN"/>
        </w:rPr>
        <w:t>1. Պետության կողմից ձևավորվող մասնագիտական կրթության առաջարկի համապատասխանություն աշխատաշուկայի ներկա և կանխատեսվող պահանջարկին</w:t>
      </w:r>
      <w:r w:rsidRPr="00752793">
        <w:rPr>
          <w:rStyle w:val="FootnoteReference"/>
          <w:b/>
          <w:bCs/>
        </w:rPr>
        <w:footnoteReference w:id="33"/>
      </w:r>
    </w:p>
    <w:p w14:paraId="0976CEFB" w14:textId="77777777" w:rsidR="00DC32E9" w:rsidRPr="00752793" w:rsidRDefault="00DC32E9" w:rsidP="00856E20">
      <w:r w:rsidRPr="00752793">
        <w:rPr>
          <w:rFonts w:eastAsia="GHEA Grapalat" w:cs="GHEA Grapalat"/>
        </w:rPr>
        <w:t xml:space="preserve">2024թ. հունիսի 24-ին ուժի մեջ է մտել «Մասնագիտական կրթության և ուսուցման մասին» նոր օրենքը, որով նախատեսվում է </w:t>
      </w:r>
      <w:r w:rsidRPr="00752793">
        <w:rPr>
          <w:color w:val="000000" w:themeColor="text1"/>
        </w:rPr>
        <w:t>օրենքից բխող ենթաօրենսդրական ակտերի մշակում, վերանայում: Ներկայումս մեկնարկել է իրավական ակտերի մշակման, վերանայման գործընթացը</w:t>
      </w:r>
      <w:r w:rsidRPr="00752793">
        <w:t>, որը դեռևս չի ավարտվել, հետևաբար  տվյալ թեմայով հաշվեքննության իրականացումը 2026 թվականին կարող է չարտացոլել քաղաքականության իրական ազդեցությունը և միջամտության ամբողջական արդյունքայնությունը։</w:t>
      </w:r>
    </w:p>
    <w:p w14:paraId="4CB05BCA" w14:textId="77777777" w:rsidR="00DC32E9" w:rsidRPr="00752793" w:rsidRDefault="00DC32E9" w:rsidP="00866885">
      <w:pPr>
        <w:ind w:left="567" w:hanging="567"/>
        <w:rPr>
          <w:b/>
          <w:bCs/>
          <w:lang w:bidi="hi-IN"/>
        </w:rPr>
      </w:pPr>
      <w:r w:rsidRPr="00752793">
        <w:rPr>
          <w:b/>
          <w:bCs/>
          <w:lang w:bidi="hi-IN"/>
        </w:rPr>
        <w:t>2. Երթևեկության անվտանգություն</w:t>
      </w:r>
      <w:r w:rsidRPr="00443956">
        <w:rPr>
          <w:vertAlign w:val="superscript"/>
          <w:lang w:bidi="hi-IN"/>
        </w:rPr>
        <w:footnoteReference w:id="34"/>
      </w:r>
    </w:p>
    <w:p w14:paraId="2D006966" w14:textId="46FE2C60" w:rsidR="00DC32E9" w:rsidRPr="00752793" w:rsidRDefault="00DC32E9" w:rsidP="00856E20">
      <w:r w:rsidRPr="00752793">
        <w:t xml:space="preserve">Հաշվի առնելով երթևեկության անվտանգության ոլորտում իրականացվող շարունակական ենթակառուցվածքային կատարելագործման գործընթացները, ինչպես նաև պաշտոնական վիճակագրական տվյալների համաձայն ՀՀ-ում ճանապարհատրանսպորտային պատահարներից մահերի թվաքանակի վերջին տարիներին նվազման կայուն միտումը, «Երթևեկության անվտանգություն» թեմային հաշվեքննության իրականացումը պարունակում է </w:t>
      </w:r>
      <w:r w:rsidRPr="00752793">
        <w:lastRenderedPageBreak/>
        <w:t xml:space="preserve">համեմատաբար սահմանափակ բարելավման ներուժ՝ «փողի դիմաց առավելագույն արժեք» սկզբունքի տեսանկյունից: </w:t>
      </w:r>
    </w:p>
    <w:p w14:paraId="03D84C18" w14:textId="747BBEFB" w:rsidR="00DC32E9" w:rsidRPr="00752793" w:rsidRDefault="00DC32E9" w:rsidP="00856E20">
      <w:r w:rsidRPr="00752793">
        <w:rPr>
          <w:rFonts w:eastAsia="Times New Roman" w:cs="Times New Roman"/>
        </w:rPr>
        <w:t>Միաժամանակ,  նշված ուղղությունները շարունակում են մնալ Հաշվեքննիչ պալատի</w:t>
      </w:r>
      <w:r w:rsidRPr="00752793">
        <w:t xml:space="preserve"> ռազմավարական դիտարկման շրջանակում։ Հաշվեքննիչ պալատը պարբերաբար </w:t>
      </w:r>
      <w:r w:rsidR="002E234D" w:rsidRPr="00752793">
        <w:t xml:space="preserve">կդիտարկի </w:t>
      </w:r>
      <w:r w:rsidRPr="00752793">
        <w:t xml:space="preserve">ոլորտում ցուցանիշների դինամիկան, իրականացվող միջոցառումները </w:t>
      </w:r>
      <w:r w:rsidR="002E234D" w:rsidRPr="00752793">
        <w:t xml:space="preserve">ու </w:t>
      </w:r>
      <w:r w:rsidRPr="00752793">
        <w:t xml:space="preserve">հանրային </w:t>
      </w:r>
      <w:r w:rsidR="002E234D" w:rsidRPr="00752793">
        <w:t>ռիսկերը</w:t>
      </w:r>
      <w:r w:rsidRPr="00752793">
        <w:t xml:space="preserve">, և անհրաժեշտության դեպքում, իրավիճակի փոփոխման կամ բարելավման նշանակալի ներուժի ի հայտ գալու պարագայում, </w:t>
      </w:r>
      <w:r w:rsidR="002E234D" w:rsidRPr="00752793">
        <w:t xml:space="preserve">կքննարկի </w:t>
      </w:r>
      <w:r w:rsidRPr="00752793">
        <w:t>հաշվեքննությ</w:t>
      </w:r>
      <w:r w:rsidR="002E234D" w:rsidRPr="00752793">
        <w:t>ու</w:t>
      </w:r>
      <w:r w:rsidRPr="00752793">
        <w:t xml:space="preserve">ն </w:t>
      </w:r>
      <w:r w:rsidR="002E234D" w:rsidRPr="00752793">
        <w:t>նախաձեռնելու նպատակահարմարությունը</w:t>
      </w:r>
      <w:r w:rsidRPr="00752793">
        <w:t>։</w:t>
      </w:r>
    </w:p>
    <w:p w14:paraId="43FB3A8D" w14:textId="58C01557" w:rsidR="00DC32E9" w:rsidRPr="00443956" w:rsidRDefault="007528AA">
      <w:pPr>
        <w:pStyle w:val="Heading4"/>
        <w:rPr>
          <w:lang w:val="hy-AM"/>
        </w:rPr>
      </w:pPr>
      <w:r w:rsidRPr="00443956">
        <w:rPr>
          <w:lang w:val="hy-AM"/>
        </w:rPr>
        <w:t xml:space="preserve">ԾՐԱԳՐԻ </w:t>
      </w:r>
      <w:bookmarkStart w:id="132" w:name="_Toc216079313"/>
      <w:r w:rsidR="00DC32E9" w:rsidRPr="00443956">
        <w:rPr>
          <w:lang w:val="hy-AM"/>
        </w:rPr>
        <w:t>2-</w:t>
      </w:r>
      <w:r w:rsidRPr="00443956">
        <w:rPr>
          <w:lang w:val="hy-AM"/>
        </w:rPr>
        <w:t>ՐԴ</w:t>
      </w:r>
      <w:r w:rsidR="00DC32E9" w:rsidRPr="00443956">
        <w:rPr>
          <w:lang w:val="hy-AM"/>
        </w:rPr>
        <w:t xml:space="preserve"> ԲԱԺԻՆ</w:t>
      </w:r>
      <w:bookmarkEnd w:id="132"/>
    </w:p>
    <w:p w14:paraId="23234052" w14:textId="77777777" w:rsidR="00DC32E9" w:rsidRPr="00752793" w:rsidRDefault="00DC32E9" w:rsidP="00856E20">
      <w:r w:rsidRPr="00752793">
        <w:t>Եվրասիական տնտեսական միության մասին պայմանագրի համաձայն ԵԱՏՄ անդամ պետությունների բարձրագույն հաշվեքննիչ/վերահսկողության մարմինների հետ համատեղ Հաշվեքննիչ պալատն իրականացնում է՝</w:t>
      </w:r>
    </w:p>
    <w:p w14:paraId="1A6752C6" w14:textId="77777777" w:rsidR="00DC32E9" w:rsidRPr="00752793" w:rsidRDefault="00DC32E9" w:rsidP="00856E20">
      <w:r w:rsidRPr="00752793">
        <w:t xml:space="preserve">1. «Ներմուծման մաքսատուրքերի (համարժեք այլ տուրքերի, հարկերի եւ վճարների) գումարները հաշվեգրելու եւ բաշխելու, դրանք որպես եկամուտ անդամ պետությունների բյուջեներ փոխանցելու կարգի մասին» արձանագրության պահպանման նկատմամբ» համաձայնագրով </w:t>
      </w:r>
      <w:r w:rsidRPr="00752793">
        <w:rPr>
          <w:rFonts w:ascii="Calibri" w:hAnsi="Calibri" w:cs="Calibri"/>
        </w:rPr>
        <w:t> </w:t>
      </w:r>
      <w:r w:rsidRPr="00752793">
        <w:t>սահմանված պարտավորությունների կատարման նկատմամբ հսկողական միջոցառումներ:</w:t>
      </w:r>
    </w:p>
    <w:p w14:paraId="08DF2643" w14:textId="77777777" w:rsidR="00DC32E9" w:rsidRPr="00752793" w:rsidRDefault="00DC32E9" w:rsidP="00856E20">
      <w:r w:rsidRPr="00752793">
        <w:t>2. Եվրասիական տնտեսական միության մարմիններում (Եվրասիական տնտեսական հանձնաժողով և Եվրասիական միության դատարան) Միության բյուջեի միջոցների ձևավորման, կառավարման ու տնօրինման, Միության գույքի և այլ ակտիվների արդյունավետ օգտագործման վերաբերյալ համատեղ արտաքին աուդիտ:</w:t>
      </w:r>
    </w:p>
    <w:p w14:paraId="63A8781F" w14:textId="49CF8A71" w:rsidR="00DC32E9" w:rsidRPr="00443956" w:rsidRDefault="00DC32E9">
      <w:pPr>
        <w:pStyle w:val="Heading4"/>
        <w:rPr>
          <w:lang w:val="hy-AM"/>
        </w:rPr>
      </w:pPr>
      <w:bookmarkStart w:id="133" w:name="_Toc216079314"/>
      <w:r w:rsidRPr="00443956">
        <w:rPr>
          <w:rStyle w:val="Heading1Char"/>
          <w:b/>
          <w:bCs/>
          <w:sz w:val="24"/>
          <w:lang w:val="hy-AM"/>
        </w:rPr>
        <w:t>ԾՐԱԳՐԻ 3-</w:t>
      </w:r>
      <w:r w:rsidR="006944B1" w:rsidRPr="00443956">
        <w:rPr>
          <w:rStyle w:val="Heading1Char"/>
          <w:b/>
          <w:bCs/>
          <w:sz w:val="24"/>
          <w:lang w:val="hy-AM"/>
        </w:rPr>
        <w:t xml:space="preserve">ՐԴ </w:t>
      </w:r>
      <w:r w:rsidRPr="00443956">
        <w:rPr>
          <w:rStyle w:val="Heading1Char"/>
          <w:b/>
          <w:bCs/>
          <w:sz w:val="24"/>
          <w:lang w:val="hy-AM"/>
        </w:rPr>
        <w:t>ԲԱԺԻՆ</w:t>
      </w:r>
      <w:bookmarkEnd w:id="133"/>
    </w:p>
    <w:p w14:paraId="32CD7EFA" w14:textId="77777777" w:rsidR="00DC32E9" w:rsidRPr="00752793" w:rsidRDefault="00DC32E9" w:rsidP="00866885">
      <w:r w:rsidRPr="00752793">
        <w:t>Հաշվեքննիչ պալատի 2026-2032 թվականների ռազմավարական զարգացման առաջնահերթությունները կենտրոնացած են ՀՊ նոր խմբագրությամբ օրենքով սահմանված ժամանակակից կառավարման մոդելին ՀՊ կառուցվածքի համապատասխանեցման, հաշվեքննության արդյունքների որակի բարձրացման, ՀՊ մարդկային կապիտալի զարգացման, հաղորդակցության և ռազմավարական գործընկերությունների ամրապնդման վրա։</w:t>
      </w:r>
    </w:p>
    <w:p w14:paraId="572DBD7E" w14:textId="07BCD4AA" w:rsidR="00DC32E9" w:rsidRPr="00752793" w:rsidRDefault="00DC32E9" w:rsidP="00856E20">
      <w:r w:rsidRPr="00752793">
        <w:t xml:space="preserve">Ռազմավարական զարգացման 2026-2032թթ. ծրագիրը նպատակաուղղված է հաշվեքննության որակի և ազդեցության բարձրացմանը, </w:t>
      </w:r>
      <w:r w:rsidR="006D5F7D" w:rsidRPr="00752793">
        <w:t>Հաշվեքննիչ պ</w:t>
      </w:r>
      <w:r w:rsidRPr="00752793">
        <w:t>ալատի կառավարման համակարգի կատարելագործմանը, մարդկային կապիտալի զարգացմանը, ինչպես նաև հաղորդակցության և ռազմավարական գործընկերությունների ամրապնդմանը՝ հանրային հաշվետվողականության և հանրության վստահության բարձրացման</w:t>
      </w:r>
      <w:r w:rsidR="006D5F7D" w:rsidRPr="00752793">
        <w:t xml:space="preserve"> նպատակադրմամբ</w:t>
      </w:r>
      <w:r w:rsidRPr="00752793">
        <w:t xml:space="preserve">։ Ռազմավարական զարգացման շրջանակում սահմանված առաջնահերթություններն ու </w:t>
      </w:r>
      <w:r w:rsidRPr="00752793">
        <w:lastRenderedPageBreak/>
        <w:t>ուղղությունները ենթակա են փուլային իրագործման՝ յուրաքանչյուր տարվա գործունեության ծրագրերի միջոցով։ Մասնավորապես, տվյալ բաժնում ներառված են 2026 թվականին իրականաց</w:t>
      </w:r>
      <w:r w:rsidR="006D5F7D" w:rsidRPr="00752793">
        <w:t>ման ենթակա</w:t>
      </w:r>
      <w:r w:rsidRPr="00752793">
        <w:t xml:space="preserve"> միջոցառումները, որոնք բխում են ռազմավարական զարգացման ընդհանուր նպատակներից և ուղղված են </w:t>
      </w:r>
      <w:r w:rsidR="006D5F7D" w:rsidRPr="00752793">
        <w:t xml:space="preserve">արտաքին պետական հաշվեքննության </w:t>
      </w:r>
      <w:r w:rsidRPr="00752793">
        <w:t xml:space="preserve">զարգացման առաջնահերթությունների </w:t>
      </w:r>
      <w:r w:rsidR="00D06B40" w:rsidRPr="00752793">
        <w:t>գործնական իրագործմանը։</w:t>
      </w:r>
    </w:p>
    <w:sectPr w:rsidR="00DC32E9" w:rsidRPr="00752793" w:rsidSect="007354A6">
      <w:headerReference w:type="default" r:id="rId19"/>
      <w:footerReference w:type="default" r:id="rId20"/>
      <w:pgSz w:w="12240" w:h="15840"/>
      <w:pgMar w:top="426" w:right="616" w:bottom="426" w:left="993" w:header="720" w:footer="5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D7AC" w14:textId="77777777" w:rsidR="00ED0073" w:rsidRDefault="00ED0073" w:rsidP="00856E20">
      <w:r>
        <w:separator/>
      </w:r>
    </w:p>
  </w:endnote>
  <w:endnote w:type="continuationSeparator" w:id="0">
    <w:p w14:paraId="04B95A53" w14:textId="77777777" w:rsidR="00ED0073" w:rsidRDefault="00ED0073" w:rsidP="0085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B637" w14:textId="6DB485BB" w:rsidR="00DB45D3" w:rsidRPr="00866885" w:rsidRDefault="00EF3C85" w:rsidP="00866885">
    <w:pPr>
      <w:pStyle w:val="Footer"/>
      <w:pBdr>
        <w:top w:val="single" w:sz="12" w:space="1" w:color="1F3864" w:themeColor="accent5" w:themeShade="80"/>
      </w:pBdr>
    </w:pPr>
    <w:r w:rsidRPr="00856E20">
      <w:t>Հաշվեքննիչ պալատի 2026 թվականի գործունեության ծրագիրը</w:t>
    </w:r>
    <w:r>
      <w:tab/>
    </w:r>
    <w:r w:rsidR="00882DDB">
      <w:t xml:space="preserve"> </w:t>
    </w:r>
    <w:r w:rsidR="00E10602">
      <w:tab/>
    </w:r>
    <w:r w:rsidR="00882DDB">
      <w:t xml:space="preserve"> </w:t>
    </w:r>
    <w:r>
      <w:rPr>
        <w:rStyle w:val="PageNumber"/>
      </w:rPr>
      <w:fldChar w:fldCharType="begin"/>
    </w:r>
    <w:r>
      <w:rPr>
        <w:rStyle w:val="PageNumber"/>
      </w:rPr>
      <w:instrText xml:space="preserve"> PAGE </w:instrText>
    </w:r>
    <w:r>
      <w:rPr>
        <w:rStyle w:val="PageNumber"/>
      </w:rPr>
      <w:fldChar w:fldCharType="separate"/>
    </w:r>
    <w:r w:rsidR="00BF4733">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0E6E" w14:textId="2E3D655A" w:rsidR="00882DDB" w:rsidRPr="00866885" w:rsidRDefault="00882DDB" w:rsidP="00856E20">
    <w:pPr>
      <w:pStyle w:val="Footer"/>
    </w:pPr>
    <w:r>
      <w:t>Հաշվեքննիչ պալատի 2026 թվականի գործունեության ծրագիրը</w:t>
    </w:r>
    <w:r>
      <w:tab/>
      <w:t xml:space="preserve"> </w:t>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F4733">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BB6D" w14:textId="687FF86F" w:rsidR="00882DDB" w:rsidRPr="00866885" w:rsidRDefault="00882DDB" w:rsidP="00856E20">
    <w:pPr>
      <w:pStyle w:val="Footer"/>
    </w:pPr>
    <w:r>
      <w:t>Հաշվեքննիչ պալատի 2026 թվականի գործունեության ծրագիրը</w:t>
    </w:r>
    <w:r>
      <w:tab/>
    </w:r>
    <w:r>
      <w:tab/>
    </w:r>
    <w:r>
      <w:rPr>
        <w:rStyle w:val="PageNumber"/>
      </w:rPr>
      <w:fldChar w:fldCharType="begin"/>
    </w:r>
    <w:r>
      <w:rPr>
        <w:rStyle w:val="PageNumber"/>
      </w:rPr>
      <w:instrText xml:space="preserve"> PAGE </w:instrText>
    </w:r>
    <w:r>
      <w:rPr>
        <w:rStyle w:val="PageNumber"/>
      </w:rPr>
      <w:fldChar w:fldCharType="separate"/>
    </w:r>
    <w:r w:rsidR="00BF4733">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D542" w14:textId="77777777" w:rsidR="00ED0073" w:rsidRDefault="00ED0073" w:rsidP="00856E20">
      <w:r>
        <w:separator/>
      </w:r>
    </w:p>
  </w:footnote>
  <w:footnote w:type="continuationSeparator" w:id="0">
    <w:p w14:paraId="470C3760" w14:textId="77777777" w:rsidR="00ED0073" w:rsidRDefault="00ED0073" w:rsidP="00856E20">
      <w:r>
        <w:continuationSeparator/>
      </w:r>
    </w:p>
  </w:footnote>
  <w:footnote w:id="1">
    <w:p w14:paraId="2382D575" w14:textId="77777777" w:rsidR="0082642A" w:rsidRPr="0082642A" w:rsidRDefault="0082642A" w:rsidP="00856E20">
      <w:pPr>
        <w:pStyle w:val="FootnoteText"/>
      </w:pPr>
      <w:r>
        <w:rPr>
          <w:rStyle w:val="FootnoteReference"/>
        </w:rPr>
        <w:footnoteRef/>
      </w:r>
      <w:r w:rsidRPr="005A1F21">
        <w:t xml:space="preserve"> </w:t>
      </w:r>
      <w:r w:rsidRPr="0082642A">
        <w:t>«Հաշվեքննիչ պալատի մասին» ՀՀ օրենքի 2</w:t>
      </w:r>
      <w:r w:rsidRPr="0082642A">
        <w:noBreakHyphen/>
        <w:t>րդ հոդվածի 3</w:t>
      </w:r>
      <w:r w:rsidRPr="0082642A">
        <w:noBreakHyphen/>
        <w:t>րդ մաս։</w:t>
      </w:r>
    </w:p>
  </w:footnote>
  <w:footnote w:id="2">
    <w:p w14:paraId="6D43B973" w14:textId="405D3804" w:rsidR="0082642A" w:rsidRPr="0082642A" w:rsidRDefault="0082642A" w:rsidP="00856E20">
      <w:pPr>
        <w:pStyle w:val="FootnoteText"/>
      </w:pPr>
      <w:r>
        <w:rPr>
          <w:rStyle w:val="FootnoteReference"/>
        </w:rPr>
        <w:footnoteRef/>
      </w:r>
      <w:r w:rsidRPr="005A1F21">
        <w:t xml:space="preserve"> </w:t>
      </w:r>
      <w:r w:rsidRPr="0082642A">
        <w:t>Հաստատված է Հաշվեքննիչ պալատի 07.10.2025թ N</w:t>
      </w:r>
      <w:r w:rsidRPr="0082642A">
        <w:rPr>
          <w:u w:val="single"/>
          <w:vertAlign w:val="superscript"/>
        </w:rPr>
        <w:t>o</w:t>
      </w:r>
      <w:r w:rsidRPr="0082642A">
        <w:rPr>
          <w:rFonts w:ascii="Cambria" w:hAnsi="Cambria"/>
        </w:rPr>
        <w:t> </w:t>
      </w:r>
      <w:r w:rsidRPr="0082642A">
        <w:t>67</w:t>
      </w:r>
      <w:r w:rsidRPr="0082642A">
        <w:noBreakHyphen/>
        <w:t xml:space="preserve">Լ որոշմամբ (կարելի է ծանոթանալ հետևյալ </w:t>
      </w:r>
      <w:hyperlink r:id="rId1" w:history="1">
        <w:r w:rsidRPr="009A1671">
          <w:rPr>
            <w:rStyle w:val="Hyperlink"/>
          </w:rPr>
          <w:t>հղմամբ</w:t>
        </w:r>
      </w:hyperlink>
      <w:r w:rsidRPr="0082642A">
        <w:t>)</w:t>
      </w:r>
      <w:r>
        <w:t>:</w:t>
      </w:r>
    </w:p>
  </w:footnote>
  <w:footnote w:id="3">
    <w:p w14:paraId="5A2E69B6" w14:textId="015652E4" w:rsidR="0082642A" w:rsidRPr="0082642A" w:rsidRDefault="0082642A" w:rsidP="00856E20">
      <w:pPr>
        <w:pStyle w:val="FootnoteText"/>
      </w:pPr>
      <w:r>
        <w:rPr>
          <w:rStyle w:val="FootnoteReference"/>
        </w:rPr>
        <w:footnoteRef/>
      </w:r>
      <w:r w:rsidRPr="005A1F21">
        <w:t xml:space="preserve"> </w:t>
      </w:r>
      <w:r w:rsidRPr="0082642A">
        <w:t>Հաստատված է Հաշվեքննիչ պալատի 27.11.2025թ N</w:t>
      </w:r>
      <w:r w:rsidRPr="0082642A">
        <w:rPr>
          <w:u w:val="single"/>
          <w:vertAlign w:val="superscript"/>
        </w:rPr>
        <w:t>o</w:t>
      </w:r>
      <w:r w:rsidRPr="0082642A">
        <w:rPr>
          <w:rFonts w:ascii="Cambria" w:hAnsi="Cambria"/>
        </w:rPr>
        <w:t> </w:t>
      </w:r>
      <w:r w:rsidR="009A1671" w:rsidRPr="009A1671">
        <w:t>82</w:t>
      </w:r>
      <w:r w:rsidRPr="0082642A">
        <w:noBreakHyphen/>
        <w:t>Լ որոշմամբ</w:t>
      </w:r>
      <w:r w:rsidR="00050108">
        <w:t>:</w:t>
      </w:r>
    </w:p>
  </w:footnote>
  <w:footnote w:id="4">
    <w:p w14:paraId="02529768" w14:textId="77777777" w:rsidR="008368B7" w:rsidRPr="005F119F" w:rsidRDefault="008368B7" w:rsidP="00856E20">
      <w:pPr>
        <w:pStyle w:val="FootnoteText"/>
      </w:pPr>
      <w:r>
        <w:rPr>
          <w:rStyle w:val="FootnoteReference"/>
        </w:rPr>
        <w:footnoteRef/>
      </w:r>
      <w:r>
        <w:t xml:space="preserve"> </w:t>
      </w:r>
      <w:r w:rsidRPr="002F13D1">
        <w:t>«Հաշվեքննիչ պալատի մասին» ՀՀ օրենքի 3</w:t>
      </w:r>
      <w:r w:rsidRPr="002F13D1">
        <w:noBreakHyphen/>
        <w:t>րդ հոդված։</w:t>
      </w:r>
    </w:p>
  </w:footnote>
  <w:footnote w:id="5">
    <w:p w14:paraId="24F97F73" w14:textId="77777777" w:rsidR="00856E20" w:rsidRPr="005F119F" w:rsidRDefault="00856E20" w:rsidP="00856E20">
      <w:pPr>
        <w:pStyle w:val="FootnoteText"/>
      </w:pPr>
      <w:r>
        <w:rPr>
          <w:rStyle w:val="FootnoteReference"/>
        </w:rPr>
        <w:footnoteRef/>
      </w:r>
      <w:r w:rsidRPr="005F119F">
        <w:t xml:space="preserve"> </w:t>
      </w:r>
      <w:r w:rsidRPr="00B06C98">
        <w:t>Սահմանադրության</w:t>
      </w:r>
      <w:r w:rsidRPr="002F13D1">
        <w:t xml:space="preserve"> 198</w:t>
      </w:r>
      <w:r w:rsidRPr="002F13D1">
        <w:noBreakHyphen/>
        <w:t>րդ հոդված («Հաշվեքննիչ պալատի մասին» ՀՀ օրենքի 4</w:t>
      </w:r>
      <w:r w:rsidRPr="002F13D1">
        <w:noBreakHyphen/>
        <w:t>րդ հոդվածի 1</w:t>
      </w:r>
      <w:r w:rsidRPr="002F13D1">
        <w:noBreakHyphen/>
        <w:t>ին մասի 25</w:t>
      </w:r>
      <w:r w:rsidRPr="002F13D1">
        <w:noBreakHyphen/>
        <w:t>26</w:t>
      </w:r>
      <w:r w:rsidRPr="002F13D1">
        <w:noBreakHyphen/>
        <w:t>րդ կետեր)։</w:t>
      </w:r>
    </w:p>
  </w:footnote>
  <w:footnote w:id="6">
    <w:p w14:paraId="60DCF89D" w14:textId="77777777" w:rsidR="0082642A" w:rsidRPr="005F119F" w:rsidRDefault="0082642A" w:rsidP="00856E20">
      <w:pPr>
        <w:pStyle w:val="FootnoteText"/>
      </w:pPr>
      <w:r w:rsidRPr="004021A2">
        <w:rPr>
          <w:rStyle w:val="FootnoteReference"/>
        </w:rPr>
        <w:footnoteRef/>
      </w:r>
      <w:r w:rsidRPr="005F119F">
        <w:t xml:space="preserve"> </w:t>
      </w:r>
      <w:r w:rsidRPr="0082642A">
        <w:t>«Հաշվեքննիչ պալատի մասին» ՀՀ օրենքի 58</w:t>
      </w:r>
      <w:r w:rsidRPr="0082642A">
        <w:noBreakHyphen/>
        <w:t>րդ հոդվածի 4</w:t>
      </w:r>
      <w:r w:rsidRPr="0082642A">
        <w:noBreakHyphen/>
        <w:t>րդ մաս։</w:t>
      </w:r>
    </w:p>
  </w:footnote>
  <w:footnote w:id="7">
    <w:p w14:paraId="44BCAB2D" w14:textId="77777777" w:rsidR="0033452E" w:rsidRPr="00207C4C" w:rsidRDefault="0033452E" w:rsidP="00856E20">
      <w:pPr>
        <w:pStyle w:val="FootnoteText"/>
      </w:pPr>
      <w:r>
        <w:rPr>
          <w:rStyle w:val="FootnoteReference"/>
        </w:rPr>
        <w:footnoteRef/>
      </w:r>
      <w:r>
        <w:t xml:space="preserve"> </w:t>
      </w:r>
      <w:r w:rsidRPr="0062760F">
        <w:rPr>
          <w:bCs/>
        </w:rPr>
        <w:t>«Հաշվեքննիչ պալատի մասին» ՀՀ օրենքի</w:t>
      </w:r>
      <w:r w:rsidRPr="0062760F">
        <w:t xml:space="preserve"> 24-րդ հոդվածի համաձայն պետական բյուջեի կատարման հաշվետվության գնահատում՝ կարծիք ներկայացնելու նպատակով։</w:t>
      </w:r>
    </w:p>
  </w:footnote>
  <w:footnote w:id="8">
    <w:p w14:paraId="14FFB1CB" w14:textId="77777777" w:rsidR="00BA3448" w:rsidRPr="006D0768" w:rsidRDefault="00BA3448" w:rsidP="00856E20">
      <w:pPr>
        <w:pStyle w:val="FootnoteText"/>
      </w:pPr>
      <w:r>
        <w:rPr>
          <w:rStyle w:val="FootnoteReference"/>
        </w:rPr>
        <w:footnoteRef/>
      </w:r>
      <w:r>
        <w:t xml:space="preserve"> </w:t>
      </w:r>
      <w:r w:rsidRPr="0062760F">
        <w:rPr>
          <w:bCs/>
        </w:rPr>
        <w:t>«Հաշվեքննիչ պալատի մասին» ՀՀ օրենքի</w:t>
      </w:r>
      <w:r w:rsidRPr="0062760F">
        <w:rPr>
          <w:b/>
          <w:bCs/>
        </w:rPr>
        <w:t xml:space="preserve"> </w:t>
      </w:r>
      <w:r w:rsidRPr="0062760F">
        <w:t>4 րդ հոդվածի 1 ին մասի 14 րդ կետի համաձայն՝ «...հաշվեքննության առարկայի՝ տնտեսող և (կամ) ռեսուրսային և (կամ) նպատակային արդյունավետ լինելու գնահատում»։</w:t>
      </w:r>
    </w:p>
  </w:footnote>
  <w:footnote w:id="9">
    <w:p w14:paraId="3054876C" w14:textId="77777777" w:rsidR="0033452E" w:rsidRPr="006D0768" w:rsidRDefault="0033452E" w:rsidP="00856E20">
      <w:pPr>
        <w:pStyle w:val="FootnoteText"/>
      </w:pPr>
      <w:r>
        <w:rPr>
          <w:rStyle w:val="FootnoteReference"/>
        </w:rPr>
        <w:footnoteRef/>
      </w:r>
      <w:r w:rsidRPr="006D0768">
        <w:t xml:space="preserve"> </w:t>
      </w:r>
      <w:r w:rsidRPr="0062760F">
        <w:rPr>
          <w:bCs/>
        </w:rPr>
        <w:t>«Հաշվեքննիչ պալատի մասին» ՀՀ օրենքի</w:t>
      </w:r>
      <w:r w:rsidRPr="0062760F">
        <w:rPr>
          <w:b/>
          <w:bCs/>
        </w:rPr>
        <w:t xml:space="preserve"> </w:t>
      </w:r>
      <w:r w:rsidRPr="0062760F">
        <w:t>4 րդ հոդվածի 1 ին մասի 13 րդ կետի համաձայն՝ «հաշվեքննության առարկայի՝ իրավական ակտերով և (կամ) ... այլ գործարքներով սահմանված չափանիշներին ու պահանջներին համապատասխանության գնահատում»։</w:t>
      </w:r>
    </w:p>
  </w:footnote>
  <w:footnote w:id="10">
    <w:p w14:paraId="102F5D1F" w14:textId="77777777" w:rsidR="00DC32E9" w:rsidRPr="005F119F" w:rsidRDefault="00DC32E9" w:rsidP="00856E20">
      <w:pPr>
        <w:pStyle w:val="FootnoteText"/>
      </w:pPr>
      <w:r>
        <w:rPr>
          <w:rStyle w:val="FootnoteReference"/>
        </w:rPr>
        <w:footnoteRef/>
      </w:r>
      <w:r w:rsidRPr="005F119F">
        <w:t xml:space="preserve"> </w:t>
      </w:r>
      <w:r>
        <w:t xml:space="preserve">Հաստատված են </w:t>
      </w:r>
      <w:r w:rsidRPr="005F119F">
        <w:t>Բարձրագույն հաշվեքննիչ մարմինների միջազգային կազմակերպության (INTOSAI) կողմից։</w:t>
      </w:r>
    </w:p>
  </w:footnote>
  <w:footnote w:id="11">
    <w:p w14:paraId="0414238A" w14:textId="77777777" w:rsidR="00DC32E9" w:rsidRPr="005F119F" w:rsidRDefault="00DC32E9" w:rsidP="00856E20">
      <w:pPr>
        <w:pStyle w:val="FootnoteText"/>
      </w:pPr>
      <w:r>
        <w:rPr>
          <w:rStyle w:val="FootnoteReference"/>
        </w:rPr>
        <w:footnoteRef/>
      </w:r>
      <w:r w:rsidRPr="005F119F">
        <w:t xml:space="preserve"> </w:t>
      </w:r>
      <w:r>
        <w:t>«Բյուջետային համակարգի մասին» ՀՀ օրենքի հոդված 1.2`</w:t>
      </w:r>
      <w:r w:rsidRPr="005F119F">
        <w:t xml:space="preserve"> Պետական բյուջեի ելքերի գերատեսչական կառուցվածքում նշված հանրային իշխանության մարմինները (</w:t>
      </w:r>
      <w:r>
        <w:t>սուբյեկտները</w:t>
      </w:r>
      <w:r w:rsidRPr="005F119F">
        <w:t>)։</w:t>
      </w:r>
    </w:p>
  </w:footnote>
  <w:footnote w:id="12">
    <w:p w14:paraId="13A41E3B" w14:textId="77777777" w:rsidR="00DC32E9" w:rsidRPr="005F119F" w:rsidRDefault="00DC32E9" w:rsidP="00856E20">
      <w:pPr>
        <w:pStyle w:val="FootnoteText"/>
      </w:pPr>
      <w:r>
        <w:rPr>
          <w:rStyle w:val="FootnoteReference"/>
        </w:rPr>
        <w:footnoteRef/>
      </w:r>
      <w:r w:rsidRPr="005F119F">
        <w:t xml:space="preserve"> «Հաշվեքննիչ պալատի մասին» ՀՀ օրենքի 24 րդ հոդվածի 1</w:t>
      </w:r>
      <w:r w:rsidRPr="005F119F">
        <w:noBreakHyphen/>
        <w:t>ին մաս։</w:t>
      </w:r>
    </w:p>
  </w:footnote>
  <w:footnote w:id="13">
    <w:p w14:paraId="1A2880A6" w14:textId="77777777" w:rsidR="00DC32E9" w:rsidRPr="005F119F" w:rsidRDefault="00DC32E9" w:rsidP="00856E20">
      <w:pPr>
        <w:pStyle w:val="FootnoteText"/>
      </w:pPr>
      <w:r>
        <w:rPr>
          <w:rStyle w:val="FootnoteReference"/>
        </w:rPr>
        <w:footnoteRef/>
      </w:r>
      <w:r w:rsidRPr="005F119F">
        <w:t xml:space="preserve"> «Հաշվեքննիչ պալատի մասին» ՀՀ օրենքի 25 րդ հոդվածի 1</w:t>
      </w:r>
      <w:r w:rsidRPr="005F119F">
        <w:noBreakHyphen/>
        <w:t>ին մաս։</w:t>
      </w:r>
    </w:p>
  </w:footnote>
  <w:footnote w:id="14">
    <w:p w14:paraId="1EDC1129" w14:textId="77777777" w:rsidR="00DC32E9" w:rsidRPr="00CB0F97" w:rsidRDefault="00DC32E9" w:rsidP="00856E20">
      <w:pPr>
        <w:pStyle w:val="FootnoteText"/>
      </w:pPr>
      <w:r>
        <w:rPr>
          <w:rStyle w:val="FootnoteReference"/>
        </w:rPr>
        <w:footnoteRef/>
      </w:r>
      <w:r w:rsidRPr="005F119F">
        <w:t xml:space="preserve"> «Հաշվեքննիչ պալատի մասին» ՀՀ օրենքի 25 րդ հոդվածի 1</w:t>
      </w:r>
      <w:r w:rsidRPr="005F119F">
        <w:noBreakHyphen/>
        <w:t xml:space="preserve">ին մասի համաձայն միջանկյալ հաշվետվությունները կազմվում են եռամսյակի ավարտից հետո </w:t>
      </w:r>
      <w:r>
        <w:t>4 ամսվա ընթացքում։</w:t>
      </w:r>
    </w:p>
  </w:footnote>
  <w:footnote w:id="15">
    <w:p w14:paraId="7B8B15DA" w14:textId="79ECFABC" w:rsidR="00DC32E9" w:rsidRPr="00443956" w:rsidRDefault="00DC32E9" w:rsidP="00856E20">
      <w:pPr>
        <w:pStyle w:val="FootnoteText"/>
      </w:pPr>
      <w:r>
        <w:rPr>
          <w:rStyle w:val="FootnoteReference"/>
        </w:rPr>
        <w:footnoteRef/>
      </w:r>
      <w:r w:rsidRPr="005F119F">
        <w:t xml:space="preserve"> «Հաշվեքննիչ պալատի մասին» ՀՀ օրենքի 4 րդ հոդվածի 1</w:t>
      </w:r>
      <w:r w:rsidRPr="005F119F">
        <w:noBreakHyphen/>
        <w:t>ին մասի 28</w:t>
      </w:r>
      <w:r w:rsidRPr="005F119F">
        <w:noBreakHyphen/>
        <w:t xml:space="preserve">րդ կետի համաձայն՝  </w:t>
      </w:r>
      <w:r>
        <w:t>«</w:t>
      </w:r>
      <w:r w:rsidRPr="005F119F">
        <w:t>պետական բյուջեի կատարման ... ֆինանսական հաշվեքննությունից բացի, Հաշվեքննիչ պալատի գործունեության ծրագրով նախատեսված հաշվեքննությունների այլ ծրագրային կետեր</w:t>
      </w:r>
      <w:r>
        <w:t>»</w:t>
      </w:r>
      <w:r w:rsidR="009A1671" w:rsidRPr="00443956">
        <w:t>:</w:t>
      </w:r>
    </w:p>
  </w:footnote>
  <w:footnote w:id="16">
    <w:p w14:paraId="21D242BC" w14:textId="77777777" w:rsidR="00DC32E9" w:rsidRPr="005F119F" w:rsidRDefault="00DC32E9" w:rsidP="00856E20">
      <w:pPr>
        <w:pStyle w:val="FootnoteText"/>
      </w:pPr>
      <w:r>
        <w:rPr>
          <w:rStyle w:val="FootnoteReference"/>
        </w:rPr>
        <w:footnoteRef/>
      </w:r>
      <w:r w:rsidRPr="005F119F">
        <w:t xml:space="preserve"> </w:t>
      </w:r>
      <w:r>
        <w:t xml:space="preserve">Հաստատված է Հաշվեքննիչ պալատի </w:t>
      </w:r>
      <w:r w:rsidRPr="00AB790F">
        <w:t>2018 թվականի նոյեմբերի 22-ի թիվ 16/4 որոշմամբ</w:t>
      </w:r>
      <w:r>
        <w:t>։</w:t>
      </w:r>
    </w:p>
  </w:footnote>
  <w:footnote w:id="17">
    <w:p w14:paraId="1A56E790" w14:textId="77777777" w:rsidR="00DC32E9" w:rsidRPr="005F119F" w:rsidRDefault="00DC32E9" w:rsidP="00856E20">
      <w:pPr>
        <w:pStyle w:val="FootnoteText"/>
      </w:pPr>
      <w:r>
        <w:rPr>
          <w:rStyle w:val="FootnoteReference"/>
        </w:rPr>
        <w:footnoteRef/>
      </w:r>
      <w:r w:rsidRPr="005F119F">
        <w:t xml:space="preserve"> </w:t>
      </w:r>
      <w:r>
        <w:t>Հաստատված է Հաշվեքննիչ պալատի 2024 թվականի սեպտեմբերի 9</w:t>
      </w:r>
      <w:r>
        <w:noBreakHyphen/>
        <w:t>ի թիվ 91</w:t>
      </w:r>
      <w:r>
        <w:noBreakHyphen/>
        <w:t>Լ որոշմամբ։</w:t>
      </w:r>
    </w:p>
  </w:footnote>
  <w:footnote w:id="18">
    <w:p w14:paraId="12FE3ACF" w14:textId="0D86E092" w:rsidR="00DC32E9" w:rsidRPr="00443956" w:rsidRDefault="00DC32E9" w:rsidP="00856E20">
      <w:pPr>
        <w:pStyle w:val="FootnoteText"/>
      </w:pPr>
      <w:r>
        <w:rPr>
          <w:rStyle w:val="FootnoteReference"/>
        </w:rPr>
        <w:footnoteRef/>
      </w:r>
      <w:r w:rsidRPr="005F119F">
        <w:t xml:space="preserve"> Առաջնահերթություն 1, Ուղղություն 1.16՝ Բժշկական կադրային ներուժի տարածքային անհամաչափ բաշխվածություն՝ մարզերում կադրային թերհագեցվածություն</w:t>
      </w:r>
      <w:r w:rsidR="009A1671" w:rsidRPr="00443956">
        <w:t>:</w:t>
      </w:r>
    </w:p>
  </w:footnote>
  <w:footnote w:id="19">
    <w:p w14:paraId="3E22D338" w14:textId="77777777" w:rsidR="00DC32E9" w:rsidRPr="005F119F" w:rsidRDefault="00DC32E9" w:rsidP="00856E20">
      <w:pPr>
        <w:pStyle w:val="FootnoteText"/>
      </w:pPr>
      <w:r w:rsidRPr="004E787B">
        <w:rPr>
          <w:rStyle w:val="FootnoteReference"/>
          <w:sz w:val="16"/>
          <w:szCs w:val="16"/>
        </w:rPr>
        <w:footnoteRef/>
      </w:r>
      <w:r w:rsidRPr="004E787B">
        <w:rPr>
          <w:sz w:val="16"/>
          <w:szCs w:val="16"/>
        </w:rPr>
        <w:t xml:space="preserve"> </w:t>
      </w:r>
      <w:r w:rsidRPr="005F119F">
        <w:t>Health at a Glance 2023, OECD, 2023, p. 176.</w:t>
      </w:r>
    </w:p>
  </w:footnote>
  <w:footnote w:id="20">
    <w:p w14:paraId="590DD1C6" w14:textId="77777777" w:rsidR="00DC32E9" w:rsidRPr="004E787B" w:rsidRDefault="00DC32E9" w:rsidP="00856E20">
      <w:pPr>
        <w:pStyle w:val="FootnoteText"/>
        <w:rPr>
          <w:sz w:val="16"/>
          <w:szCs w:val="16"/>
        </w:rPr>
      </w:pPr>
      <w:r w:rsidRPr="004E787B">
        <w:rPr>
          <w:rStyle w:val="FootnoteReference"/>
          <w:sz w:val="16"/>
          <w:szCs w:val="16"/>
        </w:rPr>
        <w:footnoteRef/>
      </w:r>
      <w:r w:rsidRPr="004E787B">
        <w:rPr>
          <w:sz w:val="16"/>
          <w:szCs w:val="16"/>
        </w:rPr>
        <w:t xml:space="preserve"> </w:t>
      </w:r>
      <w:r>
        <w:t>2025</w:t>
      </w:r>
      <w:r w:rsidRPr="005F119F">
        <w:t xml:space="preserve">թ. </w:t>
      </w:r>
      <w:r>
        <w:t>պտեմբերի</w:t>
      </w:r>
      <w:r w:rsidRPr="005F119F">
        <w:t xml:space="preserve"> դրությամբ, https://www.moh.am/#1/119։</w:t>
      </w:r>
      <w:r w:rsidRPr="004E787B">
        <w:rPr>
          <w:sz w:val="16"/>
          <w:szCs w:val="16"/>
        </w:rPr>
        <w:t xml:space="preserve"> </w:t>
      </w:r>
    </w:p>
  </w:footnote>
  <w:footnote w:id="21">
    <w:p w14:paraId="02358F3F" w14:textId="77777777" w:rsidR="00DC32E9" w:rsidRPr="005F119F" w:rsidRDefault="00DC32E9" w:rsidP="00856E20">
      <w:pPr>
        <w:pStyle w:val="FootnoteText"/>
      </w:pPr>
      <w:r w:rsidRPr="004E787B">
        <w:rPr>
          <w:rStyle w:val="FootnoteReference"/>
          <w:sz w:val="16"/>
          <w:szCs w:val="16"/>
        </w:rPr>
        <w:footnoteRef/>
      </w:r>
      <w:r w:rsidRPr="004E787B">
        <w:rPr>
          <w:sz w:val="16"/>
          <w:szCs w:val="16"/>
        </w:rPr>
        <w:t xml:space="preserve"> </w:t>
      </w:r>
      <w:r w:rsidRPr="005F119F">
        <w:t>Վերջին 5 տարիներին</w:t>
      </w:r>
      <w:r>
        <w:t xml:space="preserve"> (2020-2024</w:t>
      </w:r>
      <w:r w:rsidRPr="005F119F">
        <w:t>թթ.) ԵՊԲՀ-ն ավարտող բժիշկ շրջանավարտների միջին տարեկան թիվը 6</w:t>
      </w:r>
      <w:r>
        <w:t>30</w:t>
      </w:r>
      <w:r w:rsidRPr="005F119F">
        <w:t xml:space="preserve"> է (Աղբյուր՝ «Առող</w:t>
      </w:r>
      <w:r w:rsidRPr="005F119F">
        <w:softHyphen/>
        <w:t>ջու</w:t>
      </w:r>
      <w:r w:rsidRPr="005F119F">
        <w:softHyphen/>
        <w:t>թ</w:t>
      </w:r>
      <w:r w:rsidRPr="005F119F">
        <w:softHyphen/>
        <w:t>յուն և առողջապահություն» վիճակագրական տարեգիրք 202</w:t>
      </w:r>
      <w:r>
        <w:t>5</w:t>
      </w:r>
      <w:r w:rsidRPr="005F119F">
        <w:t>)։</w:t>
      </w:r>
    </w:p>
  </w:footnote>
  <w:footnote w:id="22">
    <w:p w14:paraId="5BC51018" w14:textId="77777777" w:rsidR="00DC32E9" w:rsidRPr="00F3595F" w:rsidRDefault="00DC32E9" w:rsidP="00856E20">
      <w:pPr>
        <w:pStyle w:val="FootnoteText"/>
      </w:pPr>
      <w:r>
        <w:rPr>
          <w:rStyle w:val="FootnoteReference"/>
        </w:rPr>
        <w:footnoteRef/>
      </w:r>
      <w:r>
        <w:t xml:space="preserve"> </w:t>
      </w:r>
      <w:r w:rsidRPr="00F3595F">
        <w:t>Առաջնահերթություն 5, Ուղղություն 5.8՝ Գյուղատնտեսական նշանակության չօգտագործվող հողերի շրջանառության մեջ դնելը և հողերի կոնսոլիդացումը</w:t>
      </w:r>
      <w:r>
        <w:t>։</w:t>
      </w:r>
    </w:p>
  </w:footnote>
  <w:footnote w:id="23">
    <w:p w14:paraId="32074901" w14:textId="77777777" w:rsidR="00DC32E9" w:rsidRPr="005F119F" w:rsidRDefault="00DC32E9" w:rsidP="00856E20">
      <w:pPr>
        <w:pStyle w:val="FootnoteText"/>
      </w:pPr>
      <w:r w:rsidRPr="00B80C87">
        <w:rPr>
          <w:rStyle w:val="FootnoteReference"/>
          <w:sz w:val="16"/>
          <w:szCs w:val="16"/>
        </w:rPr>
        <w:footnoteRef/>
      </w:r>
      <w:r w:rsidRPr="00B80C87">
        <w:rPr>
          <w:sz w:val="16"/>
          <w:szCs w:val="16"/>
        </w:rPr>
        <w:t xml:space="preserve"> </w:t>
      </w:r>
      <w:r w:rsidRPr="005F119F">
        <w:t>ՀՀ 2014թ. գյուղա</w:t>
      </w:r>
      <w:r w:rsidRPr="005F119F">
        <w:softHyphen/>
        <w:t>տնտե</w:t>
      </w:r>
      <w:r w:rsidRPr="005F119F">
        <w:softHyphen/>
        <w:t>սա</w:t>
      </w:r>
      <w:r w:rsidRPr="005F119F">
        <w:softHyphen/>
        <w:t>կան համատարած հաշվառման հիմ</w:t>
      </w:r>
      <w:r w:rsidRPr="005F119F">
        <w:softHyphen/>
        <w:t>նա</w:t>
      </w:r>
      <w:r w:rsidRPr="005F119F">
        <w:softHyphen/>
        <w:t>կան արդյունքները, ՎԿ:</w:t>
      </w:r>
    </w:p>
  </w:footnote>
  <w:footnote w:id="24">
    <w:p w14:paraId="5C888580" w14:textId="77777777" w:rsidR="00DC32E9" w:rsidRPr="00B80C87" w:rsidRDefault="00DC32E9" w:rsidP="00856E20">
      <w:pPr>
        <w:pStyle w:val="FootnoteText"/>
        <w:rPr>
          <w:sz w:val="16"/>
          <w:szCs w:val="16"/>
        </w:rPr>
      </w:pPr>
      <w:r w:rsidRPr="00B80C87">
        <w:rPr>
          <w:rStyle w:val="FootnoteReference"/>
          <w:sz w:val="16"/>
          <w:szCs w:val="16"/>
        </w:rPr>
        <w:footnoteRef/>
      </w:r>
      <w:r w:rsidRPr="00B80C87">
        <w:rPr>
          <w:sz w:val="16"/>
          <w:szCs w:val="16"/>
        </w:rPr>
        <w:t xml:space="preserve"> </w:t>
      </w:r>
      <w:r w:rsidRPr="005F119F">
        <w:t>Գյուղատնտեսական արտադրանքի իրացումը (օգտագործումը) անհատական (գյուղացիական) տնային տնտեսությունների կողմից 2023 թվականին, ՎԿ։</w:t>
      </w:r>
    </w:p>
  </w:footnote>
  <w:footnote w:id="25">
    <w:p w14:paraId="7C766D0B" w14:textId="77777777" w:rsidR="00DC32E9" w:rsidRPr="00FF437E" w:rsidRDefault="00DC32E9" w:rsidP="00856E20">
      <w:pPr>
        <w:pStyle w:val="FootnoteText"/>
      </w:pPr>
      <w:r>
        <w:rPr>
          <w:rStyle w:val="FootnoteReference"/>
        </w:rPr>
        <w:footnoteRef/>
      </w:r>
      <w:r>
        <w:t xml:space="preserve"> </w:t>
      </w:r>
      <w:r w:rsidRPr="00FF437E">
        <w:t>Հաշվեքննության 2025-2027թթ Առաջնահերթություն 5, Ուղղություն 5.7՝ տնտեսական դիվանագիտություն</w:t>
      </w:r>
      <w:r>
        <w:t>։</w:t>
      </w:r>
    </w:p>
  </w:footnote>
  <w:footnote w:id="26">
    <w:p w14:paraId="66422E43" w14:textId="77777777" w:rsidR="00DC32E9" w:rsidRPr="00DF54F4" w:rsidRDefault="00DC32E9" w:rsidP="00856E20">
      <w:pPr>
        <w:pStyle w:val="FootnoteText"/>
      </w:pPr>
      <w:r>
        <w:rPr>
          <w:rStyle w:val="FootnoteReference"/>
        </w:rPr>
        <w:footnoteRef/>
      </w:r>
      <w:r>
        <w:t xml:space="preserve"> </w:t>
      </w:r>
      <w:r w:rsidRPr="00DF54F4">
        <w:t>Հաշվեքննության 2025-2027թթ Առաջնահերթություն 6, Ուղղություն 6.6՝ Սուբսիդիաների տրամադրման համակարգ:</w:t>
      </w:r>
    </w:p>
  </w:footnote>
  <w:footnote w:id="27">
    <w:p w14:paraId="13F5B681" w14:textId="21E4A86C" w:rsidR="00DC32E9" w:rsidRPr="00443956" w:rsidRDefault="00DC32E9" w:rsidP="00856E20">
      <w:pPr>
        <w:pStyle w:val="FootnoteText"/>
      </w:pPr>
      <w:r>
        <w:rPr>
          <w:rStyle w:val="FootnoteReference"/>
        </w:rPr>
        <w:footnoteRef/>
      </w:r>
      <w:r>
        <w:t xml:space="preserve"> </w:t>
      </w:r>
      <w:r w:rsidRPr="00492314">
        <w:t>Հաշվեքննության 2025-2027թթ Առաջնահերթություն 6, Ուղղություն 6.10,6.11</w:t>
      </w:r>
      <w:r w:rsidR="009A1671" w:rsidRPr="00443956">
        <w:t>:</w:t>
      </w:r>
    </w:p>
  </w:footnote>
  <w:footnote w:id="28">
    <w:p w14:paraId="5467377F" w14:textId="54D6A34D" w:rsidR="00DC32E9" w:rsidRPr="00443956" w:rsidRDefault="00DC32E9" w:rsidP="00856E20">
      <w:pPr>
        <w:pStyle w:val="FootnoteText"/>
      </w:pPr>
      <w:r>
        <w:rPr>
          <w:rStyle w:val="FootnoteReference"/>
        </w:rPr>
        <w:footnoteRef/>
      </w:r>
      <w:r>
        <w:t xml:space="preserve"> </w:t>
      </w:r>
      <w:r w:rsidRPr="006D221B">
        <w:t>Առաջնահերթություն 6</w:t>
      </w:r>
      <w:r w:rsidR="009A1671" w:rsidRPr="00443956">
        <w:t>:</w:t>
      </w:r>
    </w:p>
  </w:footnote>
  <w:footnote w:id="29">
    <w:p w14:paraId="16C8EBAA" w14:textId="439702A9" w:rsidR="00DC32E9" w:rsidRPr="005F119F" w:rsidRDefault="00DC32E9" w:rsidP="00856E20">
      <w:pPr>
        <w:pStyle w:val="FootnoteText"/>
      </w:pPr>
      <w:r>
        <w:rPr>
          <w:rStyle w:val="FootnoteReference"/>
        </w:rPr>
        <w:footnoteRef/>
      </w:r>
      <w:r>
        <w:t xml:space="preserve"> </w:t>
      </w:r>
      <w:r w:rsidRPr="004640A5">
        <w:t xml:space="preserve">Լրացումը կատարվել է Հաշվեքննիչ պալատի 2025 թվականի նոյեմբերի 27-ի թիվ </w:t>
      </w:r>
      <w:r w:rsidR="00834654" w:rsidRPr="00443956">
        <w:t>80-Լ</w:t>
      </w:r>
      <w:r w:rsidRPr="004640A5">
        <w:t xml:space="preserve"> որոշմամբ։</w:t>
      </w:r>
    </w:p>
  </w:footnote>
  <w:footnote w:id="30">
    <w:p w14:paraId="35059B25" w14:textId="77777777" w:rsidR="00DC32E9" w:rsidRPr="005F119F" w:rsidRDefault="00DC32E9" w:rsidP="00856E20">
      <w:pPr>
        <w:pStyle w:val="FootnoteText"/>
      </w:pPr>
      <w:r>
        <w:rPr>
          <w:rStyle w:val="FootnoteReference"/>
        </w:rPr>
        <w:footnoteRef/>
      </w:r>
      <w:r w:rsidRPr="005F119F">
        <w:t xml:space="preserve"> </w:t>
      </w:r>
      <w:r w:rsidRPr="004640A5">
        <w:t>Առաջնահերթություն 7, Ուղղություն 7.4՝ Երևան քաղաքի կառավարման համակարգ և զարգացման ծրագրերի կատարում։</w:t>
      </w:r>
    </w:p>
  </w:footnote>
  <w:footnote w:id="31">
    <w:p w14:paraId="331DB1BC" w14:textId="77777777" w:rsidR="00DC32E9" w:rsidRPr="005F119F" w:rsidRDefault="00DC32E9" w:rsidP="00856E20">
      <w:pPr>
        <w:pStyle w:val="FootnoteText"/>
      </w:pPr>
      <w:r>
        <w:rPr>
          <w:rStyle w:val="FootnoteReference"/>
        </w:rPr>
        <w:footnoteRef/>
      </w:r>
      <w:r w:rsidRPr="005F119F">
        <w:t xml:space="preserve"> </w:t>
      </w:r>
      <w:r w:rsidRPr="004640A5">
        <w:t>Առաջնահերթություն 7՝ Ներդաշնակ զարգացող համայնքներ։</w:t>
      </w:r>
    </w:p>
  </w:footnote>
  <w:footnote w:id="32">
    <w:p w14:paraId="1538443A" w14:textId="77777777" w:rsidR="00DC32E9" w:rsidRPr="005F119F" w:rsidRDefault="00DC32E9" w:rsidP="00856E20">
      <w:pPr>
        <w:pStyle w:val="FootnoteText"/>
      </w:pPr>
      <w:r>
        <w:rPr>
          <w:rStyle w:val="FootnoteReference"/>
        </w:rPr>
        <w:footnoteRef/>
      </w:r>
      <w:r w:rsidRPr="005F119F">
        <w:t xml:space="preserve"> </w:t>
      </w:r>
      <w:r w:rsidRPr="004640A5">
        <w:t>Հաշվեքննիչ պալատի 2018 թվականի նոյեմբերի 22-ի թիվ 16/4 որոշմամբ հաստատված գործունեության ծրագիրը կազմելու ռիսկերի մեթոդաբանության 15-րդ կետ:</w:t>
      </w:r>
    </w:p>
  </w:footnote>
  <w:footnote w:id="33">
    <w:p w14:paraId="2A9E3120" w14:textId="176C53C4" w:rsidR="00DC32E9" w:rsidRPr="00D06B40" w:rsidRDefault="00DC32E9" w:rsidP="00752793">
      <w:pPr>
        <w:ind w:firstLine="142"/>
      </w:pPr>
      <w:r w:rsidRPr="00D06B40">
        <w:rPr>
          <w:rStyle w:val="FootnoteReference"/>
        </w:rPr>
        <w:footnoteRef/>
      </w:r>
      <w:r w:rsidRPr="00D06B40">
        <w:t xml:space="preserve"> </w:t>
      </w:r>
      <w:r w:rsidRPr="00752793">
        <w:rPr>
          <w:i/>
          <w:sz w:val="22"/>
        </w:rPr>
        <w:t>Առաջնահերթություն 2, Ուղղություն</w:t>
      </w:r>
      <w:r w:rsidR="00D06B40" w:rsidRPr="00752793">
        <w:rPr>
          <w:i/>
          <w:sz w:val="22"/>
        </w:rPr>
        <w:t xml:space="preserve"> 2.5</w:t>
      </w:r>
      <w:r w:rsidRPr="00752793">
        <w:rPr>
          <w:i/>
          <w:sz w:val="22"/>
        </w:rPr>
        <w:t>:</w:t>
      </w:r>
    </w:p>
  </w:footnote>
  <w:footnote w:id="34">
    <w:p w14:paraId="11CF5A1E" w14:textId="065DAC9F" w:rsidR="00DC32E9" w:rsidRPr="002F0E22" w:rsidRDefault="00DC32E9" w:rsidP="00752793">
      <w:pPr>
        <w:ind w:firstLine="142"/>
      </w:pPr>
      <w:r w:rsidRPr="00D06B40">
        <w:rPr>
          <w:rStyle w:val="FootnoteReference"/>
        </w:rPr>
        <w:footnoteRef/>
      </w:r>
      <w:r w:rsidRPr="00D06B40">
        <w:t xml:space="preserve"> </w:t>
      </w:r>
      <w:r w:rsidRPr="00752793">
        <w:rPr>
          <w:i/>
          <w:sz w:val="22"/>
        </w:rPr>
        <w:t>Առաջնահերթություն 3, Ուղղություն 3.10</w:t>
      </w:r>
      <w:r w:rsidR="00D06B40" w:rsidRPr="00752793">
        <w:rPr>
          <w:i/>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7410" w14:textId="77777777" w:rsidR="00882DDB" w:rsidRDefault="00882DDB" w:rsidP="00856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AC0D" w14:textId="77777777" w:rsidR="00882DDB" w:rsidRDefault="00882DDB" w:rsidP="00856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551"/>
    <w:multiLevelType w:val="hybridMultilevel"/>
    <w:tmpl w:val="08E0BA4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4576FD"/>
    <w:multiLevelType w:val="hybridMultilevel"/>
    <w:tmpl w:val="3CB44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9EC"/>
    <w:multiLevelType w:val="hybridMultilevel"/>
    <w:tmpl w:val="32CABC74"/>
    <w:lvl w:ilvl="0" w:tplc="5DD04D52">
      <w:start w:val="1"/>
      <w:numFmt w:val="decimal"/>
      <w:pStyle w:val="ListParagraph"/>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3BF674F"/>
    <w:multiLevelType w:val="multilevel"/>
    <w:tmpl w:val="36DAB9BC"/>
    <w:lvl w:ilvl="0">
      <w:start w:val="2"/>
      <w:numFmt w:val="decimal"/>
      <w:lvlText w:val="%1."/>
      <w:lvlJc w:val="left"/>
      <w:pPr>
        <w:ind w:left="75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97006DA"/>
    <w:multiLevelType w:val="hybridMultilevel"/>
    <w:tmpl w:val="FBDA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25CE9"/>
    <w:multiLevelType w:val="hybridMultilevel"/>
    <w:tmpl w:val="1F36B2CC"/>
    <w:lvl w:ilvl="0" w:tplc="BBDA293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619350A"/>
    <w:multiLevelType w:val="hybridMultilevel"/>
    <w:tmpl w:val="DA92B8CC"/>
    <w:lvl w:ilvl="0" w:tplc="BBDA293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B700F92"/>
    <w:multiLevelType w:val="multilevel"/>
    <w:tmpl w:val="4692BC62"/>
    <w:lvl w:ilvl="0">
      <w:start w:val="1"/>
      <w:numFmt w:val="decimal"/>
      <w:lvlText w:val="%1)"/>
      <w:lvlJc w:val="left"/>
      <w:pPr>
        <w:ind w:left="1350" w:hanging="360"/>
      </w:pPr>
      <w:rPr>
        <w:sz w:val="24"/>
        <w:szCs w:val="24"/>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8" w15:restartNumberingAfterBreak="0">
    <w:nsid w:val="608B78EB"/>
    <w:multiLevelType w:val="hybridMultilevel"/>
    <w:tmpl w:val="1374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C74C6"/>
    <w:multiLevelType w:val="multilevel"/>
    <w:tmpl w:val="B448A88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31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3979C0"/>
    <w:multiLevelType w:val="hybridMultilevel"/>
    <w:tmpl w:val="F90853A0"/>
    <w:lvl w:ilvl="0" w:tplc="A3C2F51A">
      <w:start w:val="1"/>
      <w:numFmt w:val="decimal"/>
      <w:pStyle w:val="Heading3"/>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8923030">
    <w:abstractNumId w:val="8"/>
  </w:num>
  <w:num w:numId="2" w16cid:durableId="1838422546">
    <w:abstractNumId w:val="4"/>
  </w:num>
  <w:num w:numId="3" w16cid:durableId="2084646357">
    <w:abstractNumId w:val="3"/>
  </w:num>
  <w:num w:numId="4" w16cid:durableId="706953253">
    <w:abstractNumId w:val="2"/>
  </w:num>
  <w:num w:numId="5" w16cid:durableId="1838038559">
    <w:abstractNumId w:val="7"/>
    <w:lvlOverride w:ilvl="0">
      <w:startOverride w:val="1"/>
    </w:lvlOverride>
    <w:lvlOverride w:ilvl="1"/>
    <w:lvlOverride w:ilvl="2"/>
    <w:lvlOverride w:ilvl="3"/>
    <w:lvlOverride w:ilvl="4"/>
    <w:lvlOverride w:ilvl="5"/>
    <w:lvlOverride w:ilvl="6"/>
    <w:lvlOverride w:ilvl="7"/>
    <w:lvlOverride w:ilvl="8"/>
  </w:num>
  <w:num w:numId="6" w16cid:durableId="650595910">
    <w:abstractNumId w:val="9"/>
  </w:num>
  <w:num w:numId="7" w16cid:durableId="1351298740">
    <w:abstractNumId w:val="6"/>
  </w:num>
  <w:num w:numId="8" w16cid:durableId="1819611999">
    <w:abstractNumId w:val="0"/>
  </w:num>
  <w:num w:numId="9" w16cid:durableId="1633706349">
    <w:abstractNumId w:val="5"/>
  </w:num>
  <w:num w:numId="10" w16cid:durableId="1657610083">
    <w:abstractNumId w:val="10"/>
  </w:num>
  <w:num w:numId="11" w16cid:durableId="290866046">
    <w:abstractNumId w:val="1"/>
  </w:num>
  <w:num w:numId="12" w16cid:durableId="395977233">
    <w:abstractNumId w:val="2"/>
  </w:num>
  <w:num w:numId="13" w16cid:durableId="2050448579">
    <w:abstractNumId w:val="2"/>
  </w:num>
  <w:num w:numId="14" w16cid:durableId="1142966952">
    <w:abstractNumId w:val="2"/>
  </w:num>
  <w:num w:numId="15" w16cid:durableId="1823347547">
    <w:abstractNumId w:val="2"/>
  </w:num>
  <w:num w:numId="16" w16cid:durableId="879826662">
    <w:abstractNumId w:val="10"/>
  </w:num>
  <w:num w:numId="17" w16cid:durableId="833692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9C"/>
    <w:rsid w:val="000027DF"/>
    <w:rsid w:val="0001019C"/>
    <w:rsid w:val="00011206"/>
    <w:rsid w:val="0001233F"/>
    <w:rsid w:val="000154B4"/>
    <w:rsid w:val="0003454A"/>
    <w:rsid w:val="00036F44"/>
    <w:rsid w:val="000405ED"/>
    <w:rsid w:val="00050108"/>
    <w:rsid w:val="00055DDE"/>
    <w:rsid w:val="000677C0"/>
    <w:rsid w:val="000847CA"/>
    <w:rsid w:val="000B6B0C"/>
    <w:rsid w:val="000C0CEC"/>
    <w:rsid w:val="000D099F"/>
    <w:rsid w:val="000E290B"/>
    <w:rsid w:val="000E33CF"/>
    <w:rsid w:val="001014E8"/>
    <w:rsid w:val="00112D47"/>
    <w:rsid w:val="00114E4D"/>
    <w:rsid w:val="00120411"/>
    <w:rsid w:val="00161E17"/>
    <w:rsid w:val="001620F7"/>
    <w:rsid w:val="0017684A"/>
    <w:rsid w:val="00180A53"/>
    <w:rsid w:val="001A50C9"/>
    <w:rsid w:val="001B1875"/>
    <w:rsid w:val="001D5AF9"/>
    <w:rsid w:val="001E2DFD"/>
    <w:rsid w:val="001E71E6"/>
    <w:rsid w:val="00207C4C"/>
    <w:rsid w:val="00215830"/>
    <w:rsid w:val="00216D6E"/>
    <w:rsid w:val="0024450C"/>
    <w:rsid w:val="0024485B"/>
    <w:rsid w:val="00262762"/>
    <w:rsid w:val="002754D0"/>
    <w:rsid w:val="00283A20"/>
    <w:rsid w:val="0029309C"/>
    <w:rsid w:val="002A3B5F"/>
    <w:rsid w:val="002A77C6"/>
    <w:rsid w:val="002E1898"/>
    <w:rsid w:val="002E234D"/>
    <w:rsid w:val="0030053C"/>
    <w:rsid w:val="00300B90"/>
    <w:rsid w:val="00312FE3"/>
    <w:rsid w:val="00323EB3"/>
    <w:rsid w:val="00325EEA"/>
    <w:rsid w:val="0033452E"/>
    <w:rsid w:val="003465FB"/>
    <w:rsid w:val="00357310"/>
    <w:rsid w:val="00364F1B"/>
    <w:rsid w:val="00370D73"/>
    <w:rsid w:val="003A4637"/>
    <w:rsid w:val="003C24D4"/>
    <w:rsid w:val="003C7322"/>
    <w:rsid w:val="003D40CE"/>
    <w:rsid w:val="00431A53"/>
    <w:rsid w:val="00432185"/>
    <w:rsid w:val="00443956"/>
    <w:rsid w:val="00462949"/>
    <w:rsid w:val="00491F09"/>
    <w:rsid w:val="004973B8"/>
    <w:rsid w:val="004B1577"/>
    <w:rsid w:val="004C04C0"/>
    <w:rsid w:val="005021E3"/>
    <w:rsid w:val="0051533D"/>
    <w:rsid w:val="00535318"/>
    <w:rsid w:val="00547E47"/>
    <w:rsid w:val="00551E78"/>
    <w:rsid w:val="00557E51"/>
    <w:rsid w:val="005659FD"/>
    <w:rsid w:val="00567421"/>
    <w:rsid w:val="00577BE7"/>
    <w:rsid w:val="005845B2"/>
    <w:rsid w:val="00590FE3"/>
    <w:rsid w:val="0059795F"/>
    <w:rsid w:val="005C411F"/>
    <w:rsid w:val="005E04F6"/>
    <w:rsid w:val="005E0A40"/>
    <w:rsid w:val="006079FD"/>
    <w:rsid w:val="006120AD"/>
    <w:rsid w:val="0062760F"/>
    <w:rsid w:val="00641972"/>
    <w:rsid w:val="00647036"/>
    <w:rsid w:val="00657554"/>
    <w:rsid w:val="00660096"/>
    <w:rsid w:val="00662468"/>
    <w:rsid w:val="006664A3"/>
    <w:rsid w:val="006817DA"/>
    <w:rsid w:val="0069085F"/>
    <w:rsid w:val="00691828"/>
    <w:rsid w:val="006944B1"/>
    <w:rsid w:val="00696D58"/>
    <w:rsid w:val="006A6B74"/>
    <w:rsid w:val="006B0D82"/>
    <w:rsid w:val="006C7F03"/>
    <w:rsid w:val="006D0768"/>
    <w:rsid w:val="006D5F7D"/>
    <w:rsid w:val="006D77A9"/>
    <w:rsid w:val="006D7DD3"/>
    <w:rsid w:val="006E70BF"/>
    <w:rsid w:val="006F2455"/>
    <w:rsid w:val="006F50ED"/>
    <w:rsid w:val="007006BF"/>
    <w:rsid w:val="00722CE1"/>
    <w:rsid w:val="00722ED4"/>
    <w:rsid w:val="007354A6"/>
    <w:rsid w:val="007448E7"/>
    <w:rsid w:val="00746AA2"/>
    <w:rsid w:val="00752793"/>
    <w:rsid w:val="007528AA"/>
    <w:rsid w:val="007564AD"/>
    <w:rsid w:val="007651EA"/>
    <w:rsid w:val="00777383"/>
    <w:rsid w:val="00786EEB"/>
    <w:rsid w:val="00793773"/>
    <w:rsid w:val="007B1FB9"/>
    <w:rsid w:val="007E1F16"/>
    <w:rsid w:val="007E6710"/>
    <w:rsid w:val="007F3C11"/>
    <w:rsid w:val="00810876"/>
    <w:rsid w:val="0082642A"/>
    <w:rsid w:val="00834654"/>
    <w:rsid w:val="008368B7"/>
    <w:rsid w:val="00854A5F"/>
    <w:rsid w:val="00856E20"/>
    <w:rsid w:val="00866885"/>
    <w:rsid w:val="00867D51"/>
    <w:rsid w:val="00882DDB"/>
    <w:rsid w:val="008B10BF"/>
    <w:rsid w:val="008B30AA"/>
    <w:rsid w:val="008B4948"/>
    <w:rsid w:val="008C366D"/>
    <w:rsid w:val="008D0C66"/>
    <w:rsid w:val="008D22ED"/>
    <w:rsid w:val="008D73FE"/>
    <w:rsid w:val="008E39A9"/>
    <w:rsid w:val="008E76EC"/>
    <w:rsid w:val="008F40E4"/>
    <w:rsid w:val="0090651D"/>
    <w:rsid w:val="00906F7C"/>
    <w:rsid w:val="00921593"/>
    <w:rsid w:val="00923339"/>
    <w:rsid w:val="00924AB9"/>
    <w:rsid w:val="009506EF"/>
    <w:rsid w:val="00986352"/>
    <w:rsid w:val="00986A4C"/>
    <w:rsid w:val="00990D04"/>
    <w:rsid w:val="00992E39"/>
    <w:rsid w:val="009A1671"/>
    <w:rsid w:val="009B05E2"/>
    <w:rsid w:val="009C0351"/>
    <w:rsid w:val="009C37B3"/>
    <w:rsid w:val="009D3CFD"/>
    <w:rsid w:val="009E0464"/>
    <w:rsid w:val="009E0C65"/>
    <w:rsid w:val="00A0165A"/>
    <w:rsid w:val="00A14AAC"/>
    <w:rsid w:val="00A36E79"/>
    <w:rsid w:val="00A47DF1"/>
    <w:rsid w:val="00A52634"/>
    <w:rsid w:val="00A66975"/>
    <w:rsid w:val="00A83098"/>
    <w:rsid w:val="00A84CC6"/>
    <w:rsid w:val="00A8628B"/>
    <w:rsid w:val="00A93575"/>
    <w:rsid w:val="00AB79B8"/>
    <w:rsid w:val="00AC3AF0"/>
    <w:rsid w:val="00AC7D7A"/>
    <w:rsid w:val="00AF7B65"/>
    <w:rsid w:val="00B032F8"/>
    <w:rsid w:val="00B06C98"/>
    <w:rsid w:val="00B075CE"/>
    <w:rsid w:val="00B137DB"/>
    <w:rsid w:val="00B37927"/>
    <w:rsid w:val="00B40217"/>
    <w:rsid w:val="00B4476C"/>
    <w:rsid w:val="00B46447"/>
    <w:rsid w:val="00B56961"/>
    <w:rsid w:val="00B63ECA"/>
    <w:rsid w:val="00B65701"/>
    <w:rsid w:val="00B75B54"/>
    <w:rsid w:val="00B7699F"/>
    <w:rsid w:val="00B76B4D"/>
    <w:rsid w:val="00B82C3E"/>
    <w:rsid w:val="00B950EB"/>
    <w:rsid w:val="00BA3448"/>
    <w:rsid w:val="00BC5B01"/>
    <w:rsid w:val="00BD4E1F"/>
    <w:rsid w:val="00BE28EF"/>
    <w:rsid w:val="00BF4733"/>
    <w:rsid w:val="00C028D2"/>
    <w:rsid w:val="00C10E37"/>
    <w:rsid w:val="00C2039F"/>
    <w:rsid w:val="00C37367"/>
    <w:rsid w:val="00CA440C"/>
    <w:rsid w:val="00CB5CFE"/>
    <w:rsid w:val="00CF656C"/>
    <w:rsid w:val="00D06B40"/>
    <w:rsid w:val="00D11D16"/>
    <w:rsid w:val="00D12804"/>
    <w:rsid w:val="00D12B18"/>
    <w:rsid w:val="00D71758"/>
    <w:rsid w:val="00D93DA6"/>
    <w:rsid w:val="00D9546F"/>
    <w:rsid w:val="00DA2174"/>
    <w:rsid w:val="00DB45D3"/>
    <w:rsid w:val="00DC32E9"/>
    <w:rsid w:val="00DD0F32"/>
    <w:rsid w:val="00DE6443"/>
    <w:rsid w:val="00E10602"/>
    <w:rsid w:val="00E11051"/>
    <w:rsid w:val="00E2061A"/>
    <w:rsid w:val="00E20E11"/>
    <w:rsid w:val="00E2379D"/>
    <w:rsid w:val="00E53224"/>
    <w:rsid w:val="00E5764A"/>
    <w:rsid w:val="00E67A97"/>
    <w:rsid w:val="00ED0073"/>
    <w:rsid w:val="00EF3C85"/>
    <w:rsid w:val="00EF66BD"/>
    <w:rsid w:val="00EF6F59"/>
    <w:rsid w:val="00F02A70"/>
    <w:rsid w:val="00F02D7F"/>
    <w:rsid w:val="00F05792"/>
    <w:rsid w:val="00F05C63"/>
    <w:rsid w:val="00F278C3"/>
    <w:rsid w:val="00F359BC"/>
    <w:rsid w:val="00F40229"/>
    <w:rsid w:val="00F512C0"/>
    <w:rsid w:val="00F562D8"/>
    <w:rsid w:val="00F8768F"/>
    <w:rsid w:val="00FA15C9"/>
    <w:rsid w:val="00FA6624"/>
    <w:rsid w:val="00FF0F8A"/>
    <w:rsid w:val="00FF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947C"/>
  <w15:chartTrackingRefBased/>
  <w15:docId w15:val="{744F7E1A-666D-42C9-ADD5-17F41C45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E20"/>
    <w:pPr>
      <w:spacing w:after="120" w:line="264" w:lineRule="auto"/>
      <w:ind w:firstLine="567"/>
      <w:jc w:val="both"/>
    </w:pPr>
    <w:rPr>
      <w:lang w:val="hy-AM"/>
    </w:rPr>
  </w:style>
  <w:style w:type="paragraph" w:styleId="Heading1">
    <w:name w:val="heading 1"/>
    <w:basedOn w:val="Heading3"/>
    <w:next w:val="Normal"/>
    <w:link w:val="Heading1Char"/>
    <w:autoRedefine/>
    <w:uiPriority w:val="9"/>
    <w:qFormat/>
    <w:rsid w:val="00A52634"/>
    <w:pPr>
      <w:numPr>
        <w:numId w:val="0"/>
      </w:numPr>
      <w:spacing w:before="240"/>
      <w:jc w:val="center"/>
      <w:outlineLvl w:val="0"/>
    </w:pPr>
  </w:style>
  <w:style w:type="paragraph" w:styleId="Heading2">
    <w:name w:val="heading 2"/>
    <w:basedOn w:val="ListParagraph"/>
    <w:next w:val="Normal"/>
    <w:link w:val="Heading2Char"/>
    <w:autoRedefine/>
    <w:uiPriority w:val="9"/>
    <w:unhideWhenUsed/>
    <w:qFormat/>
    <w:rsid w:val="004973B8"/>
    <w:pPr>
      <w:keepNext/>
      <w:keepLines/>
      <w:spacing w:before="240" w:after="240" w:line="288" w:lineRule="auto"/>
      <w:ind w:left="0"/>
      <w:contextualSpacing w:val="0"/>
      <w:outlineLvl w:val="1"/>
    </w:pPr>
    <w:rPr>
      <w:rFonts w:cs="Calibri"/>
      <w:b/>
      <w:bCs/>
      <w:color w:val="002060"/>
      <w:u w:val="single"/>
      <w:lang w:val="en-US" w:bidi="hi-IN"/>
    </w:rPr>
  </w:style>
  <w:style w:type="paragraph" w:styleId="Heading3">
    <w:name w:val="heading 3"/>
    <w:basedOn w:val="ListParagraph"/>
    <w:next w:val="Normal"/>
    <w:link w:val="Heading3Char"/>
    <w:autoRedefine/>
    <w:uiPriority w:val="9"/>
    <w:unhideWhenUsed/>
    <w:qFormat/>
    <w:rsid w:val="006F50ED"/>
    <w:pPr>
      <w:keepNext/>
      <w:keepLines/>
      <w:numPr>
        <w:numId w:val="10"/>
      </w:numPr>
      <w:tabs>
        <w:tab w:val="left" w:pos="709"/>
      </w:tabs>
      <w:spacing w:before="480" w:after="360" w:line="240" w:lineRule="auto"/>
      <w:contextualSpacing w:val="0"/>
      <w:jc w:val="left"/>
      <w:outlineLvl w:val="2"/>
    </w:pPr>
    <w:rPr>
      <w:rFonts w:eastAsiaTheme="minorHAnsi"/>
      <w:b/>
      <w:bCs/>
      <w:sz w:val="26"/>
      <w:szCs w:val="26"/>
      <w:lang w:val="en-US"/>
    </w:rPr>
  </w:style>
  <w:style w:type="paragraph" w:styleId="Heading4">
    <w:name w:val="heading 4"/>
    <w:basedOn w:val="Heading3"/>
    <w:next w:val="Normal"/>
    <w:link w:val="Heading4Char"/>
    <w:autoRedefine/>
    <w:uiPriority w:val="9"/>
    <w:unhideWhenUsed/>
    <w:qFormat/>
    <w:rsid w:val="00752793"/>
    <w:pPr>
      <w:numPr>
        <w:numId w:val="0"/>
      </w:numPr>
      <w:outlineLvl w:val="3"/>
    </w:pPr>
    <w:rPr>
      <w:color w:val="806000" w:themeColor="accent4"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46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9309C"/>
    <w:rPr>
      <w:vertAlign w:val="superscript"/>
    </w:rPr>
  </w:style>
  <w:style w:type="paragraph" w:styleId="ListParagraph">
    <w:name w:val="List Paragraph"/>
    <w:aliases w:val="List Paragraph (numbered (a)),Bullets,List Paragraph nowy,Liste 1,ECDC AF Paragraph,List_Paragraph,Multilevel para_II,List Paragraph1,List Paragraph-ExecSummary,Bullet1,References,IBL List Paragraph,Numbered List Paragraph,Numbering"/>
    <w:basedOn w:val="Normal"/>
    <w:link w:val="ListParagraphChar"/>
    <w:uiPriority w:val="34"/>
    <w:qFormat/>
    <w:rsid w:val="006817DA"/>
    <w:pPr>
      <w:numPr>
        <w:numId w:val="4"/>
      </w:numPr>
      <w:spacing w:after="160" w:line="300" w:lineRule="auto"/>
      <w:contextualSpacing/>
    </w:pPr>
    <w:rPr>
      <w:rFonts w:eastAsiaTheme="minorEastAsia"/>
      <w:lang w:val="en-GB"/>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Bullet1 Char,Numbering Char"/>
    <w:link w:val="ListParagraph"/>
    <w:uiPriority w:val="34"/>
    <w:rsid w:val="006817DA"/>
    <w:rPr>
      <w:rFonts w:eastAsiaTheme="minorEastAsia"/>
      <w:lang w:val="en-GB"/>
    </w:rPr>
  </w:style>
  <w:style w:type="paragraph" w:styleId="FootnoteText">
    <w:name w:val="footnote text"/>
    <w:basedOn w:val="Normal"/>
    <w:link w:val="FootnoteTextChar"/>
    <w:uiPriority w:val="99"/>
    <w:unhideWhenUsed/>
    <w:rsid w:val="00B06C98"/>
    <w:pPr>
      <w:spacing w:after="0" w:line="240" w:lineRule="auto"/>
      <w:ind w:firstLine="0"/>
    </w:pPr>
    <w:rPr>
      <w:i/>
      <w:sz w:val="20"/>
      <w:szCs w:val="20"/>
    </w:rPr>
  </w:style>
  <w:style w:type="character" w:customStyle="1" w:styleId="FootnoteTextChar">
    <w:name w:val="Footnote Text Char"/>
    <w:basedOn w:val="DefaultParagraphFont"/>
    <w:link w:val="FootnoteText"/>
    <w:uiPriority w:val="99"/>
    <w:rsid w:val="00B06C98"/>
    <w:rPr>
      <w:i/>
      <w:sz w:val="20"/>
      <w:szCs w:val="20"/>
      <w:lang w:val="hy-AM"/>
    </w:rPr>
  </w:style>
  <w:style w:type="character" w:styleId="CommentReference">
    <w:name w:val="annotation reference"/>
    <w:basedOn w:val="DefaultParagraphFont"/>
    <w:uiPriority w:val="99"/>
    <w:semiHidden/>
    <w:unhideWhenUsed/>
    <w:rsid w:val="00B46447"/>
    <w:rPr>
      <w:sz w:val="16"/>
      <w:szCs w:val="16"/>
    </w:rPr>
  </w:style>
  <w:style w:type="paragraph" w:styleId="CommentText">
    <w:name w:val="annotation text"/>
    <w:basedOn w:val="Normal"/>
    <w:link w:val="CommentTextChar"/>
    <w:uiPriority w:val="99"/>
    <w:unhideWhenUsed/>
    <w:rsid w:val="008F40E4"/>
    <w:pPr>
      <w:spacing w:line="240" w:lineRule="auto"/>
    </w:pPr>
    <w:rPr>
      <w:color w:val="0070C0"/>
      <w:sz w:val="28"/>
      <w:szCs w:val="20"/>
    </w:rPr>
  </w:style>
  <w:style w:type="character" w:customStyle="1" w:styleId="CommentTextChar">
    <w:name w:val="Comment Text Char"/>
    <w:basedOn w:val="DefaultParagraphFont"/>
    <w:link w:val="CommentText"/>
    <w:uiPriority w:val="99"/>
    <w:rsid w:val="008F40E4"/>
    <w:rPr>
      <w:color w:val="0070C0"/>
      <w:sz w:val="28"/>
      <w:szCs w:val="20"/>
      <w:lang w:val="hy-AM"/>
    </w:rPr>
  </w:style>
  <w:style w:type="paragraph" w:styleId="CommentSubject">
    <w:name w:val="annotation subject"/>
    <w:basedOn w:val="CommentText"/>
    <w:next w:val="CommentText"/>
    <w:link w:val="CommentSubjectChar"/>
    <w:uiPriority w:val="99"/>
    <w:semiHidden/>
    <w:unhideWhenUsed/>
    <w:rsid w:val="00B46447"/>
    <w:rPr>
      <w:b/>
      <w:bCs/>
    </w:rPr>
  </w:style>
  <w:style w:type="character" w:customStyle="1" w:styleId="CommentSubjectChar">
    <w:name w:val="Comment Subject Char"/>
    <w:basedOn w:val="CommentTextChar"/>
    <w:link w:val="CommentSubject"/>
    <w:uiPriority w:val="99"/>
    <w:semiHidden/>
    <w:rsid w:val="00B46447"/>
    <w:rPr>
      <w:rFonts w:asciiTheme="minorHAnsi" w:hAnsiTheme="minorHAnsi"/>
      <w:b/>
      <w:bCs/>
      <w:color w:val="0070C0"/>
      <w:sz w:val="20"/>
      <w:szCs w:val="20"/>
      <w:lang w:val="hy-AM"/>
    </w:rPr>
  </w:style>
  <w:style w:type="paragraph" w:styleId="Subtitle">
    <w:name w:val="Subtitle"/>
    <w:basedOn w:val="Normal"/>
    <w:next w:val="Normal"/>
    <w:link w:val="SubtitleChar"/>
    <w:uiPriority w:val="11"/>
    <w:qFormat/>
    <w:rsid w:val="007E6710"/>
    <w:pPr>
      <w:keepNext/>
      <w:keepLines/>
      <w:spacing w:before="360" w:after="240"/>
    </w:pPr>
    <w:rPr>
      <w:b/>
      <w:bCs/>
      <w:lang w:bidi="hi-IN"/>
    </w:rPr>
  </w:style>
  <w:style w:type="character" w:customStyle="1" w:styleId="SubtitleChar">
    <w:name w:val="Subtitle Char"/>
    <w:basedOn w:val="DefaultParagraphFont"/>
    <w:link w:val="Subtitle"/>
    <w:uiPriority w:val="11"/>
    <w:rsid w:val="007E6710"/>
    <w:rPr>
      <w:b/>
      <w:bCs/>
      <w:lang w:val="hy-AM" w:bidi="hi-IN"/>
    </w:rPr>
  </w:style>
  <w:style w:type="character" w:customStyle="1" w:styleId="Heading1Char">
    <w:name w:val="Heading 1 Char"/>
    <w:basedOn w:val="DefaultParagraphFont"/>
    <w:link w:val="Heading1"/>
    <w:uiPriority w:val="9"/>
    <w:rsid w:val="00A52634"/>
    <w:rPr>
      <w:b/>
      <w:bCs/>
      <w:sz w:val="26"/>
      <w:szCs w:val="26"/>
    </w:rPr>
  </w:style>
  <w:style w:type="character" w:customStyle="1" w:styleId="Heading2Char">
    <w:name w:val="Heading 2 Char"/>
    <w:basedOn w:val="DefaultParagraphFont"/>
    <w:link w:val="Heading2"/>
    <w:uiPriority w:val="9"/>
    <w:rsid w:val="004973B8"/>
    <w:rPr>
      <w:rFonts w:eastAsiaTheme="minorEastAsia" w:cs="Calibri"/>
      <w:b/>
      <w:bCs/>
      <w:color w:val="002060"/>
      <w:u w:val="single"/>
      <w:lang w:bidi="hi-IN"/>
    </w:rPr>
  </w:style>
  <w:style w:type="character" w:customStyle="1" w:styleId="Heading3Char">
    <w:name w:val="Heading 3 Char"/>
    <w:basedOn w:val="DefaultParagraphFont"/>
    <w:link w:val="Heading3"/>
    <w:uiPriority w:val="9"/>
    <w:rsid w:val="006F50ED"/>
    <w:rPr>
      <w:b/>
      <w:bCs/>
      <w:sz w:val="26"/>
      <w:szCs w:val="26"/>
    </w:rPr>
  </w:style>
  <w:style w:type="character" w:customStyle="1" w:styleId="Heading4Char">
    <w:name w:val="Heading 4 Char"/>
    <w:basedOn w:val="DefaultParagraphFont"/>
    <w:link w:val="Heading4"/>
    <w:uiPriority w:val="9"/>
    <w:rsid w:val="00752793"/>
    <w:rPr>
      <w:b/>
      <w:bCs/>
      <w:color w:val="806000" w:themeColor="accent4" w:themeShade="80"/>
      <w:szCs w:val="26"/>
    </w:rPr>
  </w:style>
  <w:style w:type="paragraph" w:customStyle="1" w:styleId="Default">
    <w:name w:val="Default"/>
    <w:rsid w:val="00DC32E9"/>
    <w:pPr>
      <w:widowControl w:val="0"/>
      <w:autoSpaceDN w:val="0"/>
      <w:adjustRightInd w:val="0"/>
      <w:spacing w:line="254" w:lineRule="auto"/>
    </w:pPr>
    <w:rPr>
      <w:rFonts w:ascii="Calibri" w:eastAsia="Times New Roman" w:hAnsi="Calibri" w:cs="Calibri"/>
      <w:sz w:val="21"/>
      <w:szCs w:val="21"/>
      <w:lang w:bidi="hi-IN"/>
    </w:rPr>
  </w:style>
  <w:style w:type="character" w:styleId="IntenseEmphasis">
    <w:name w:val="Intense Emphasis"/>
    <w:uiPriority w:val="21"/>
    <w:qFormat/>
    <w:rsid w:val="00DC32E9"/>
    <w:rPr>
      <w:rFonts w:eastAsiaTheme="minorEastAsia"/>
      <w:b/>
      <w:i/>
      <w:szCs w:val="24"/>
      <w:lang w:val="hy-AM"/>
    </w:rPr>
  </w:style>
  <w:style w:type="paragraph" w:styleId="NormalWeb">
    <w:name w:val="Normal (Web)"/>
    <w:basedOn w:val="Normal"/>
    <w:uiPriority w:val="99"/>
    <w:unhideWhenUsed/>
    <w:rsid w:val="00DC32E9"/>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B03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2F8"/>
    <w:rPr>
      <w:rFonts w:asciiTheme="minorHAnsi" w:hAnsiTheme="minorHAnsi"/>
      <w:sz w:val="22"/>
      <w:szCs w:val="22"/>
    </w:rPr>
  </w:style>
  <w:style w:type="paragraph" w:styleId="Footer">
    <w:name w:val="footer"/>
    <w:basedOn w:val="Normal"/>
    <w:link w:val="FooterChar"/>
    <w:uiPriority w:val="99"/>
    <w:unhideWhenUsed/>
    <w:rsid w:val="00856E20"/>
    <w:pPr>
      <w:pBdr>
        <w:top w:val="single" w:sz="12" w:space="1" w:color="0070C0"/>
      </w:pBdr>
      <w:tabs>
        <w:tab w:val="center" w:pos="4680"/>
        <w:tab w:val="right" w:pos="9360"/>
      </w:tabs>
      <w:spacing w:after="0" w:line="240" w:lineRule="auto"/>
      <w:ind w:firstLine="0"/>
    </w:pPr>
    <w:rPr>
      <w:sz w:val="20"/>
      <w:szCs w:val="20"/>
    </w:rPr>
  </w:style>
  <w:style w:type="character" w:customStyle="1" w:styleId="FooterChar">
    <w:name w:val="Footer Char"/>
    <w:basedOn w:val="DefaultParagraphFont"/>
    <w:link w:val="Footer"/>
    <w:uiPriority w:val="99"/>
    <w:rsid w:val="00856E20"/>
    <w:rPr>
      <w:sz w:val="20"/>
      <w:szCs w:val="20"/>
      <w:lang w:val="hy-AM"/>
    </w:rPr>
  </w:style>
  <w:style w:type="paragraph" w:styleId="Revision">
    <w:name w:val="Revision"/>
    <w:hidden/>
    <w:uiPriority w:val="99"/>
    <w:semiHidden/>
    <w:rsid w:val="006E70BF"/>
    <w:pPr>
      <w:spacing w:after="0" w:line="240" w:lineRule="auto"/>
    </w:pPr>
    <w:rPr>
      <w:rFonts w:asciiTheme="minorHAnsi" w:hAnsiTheme="minorHAnsi"/>
      <w:sz w:val="22"/>
      <w:szCs w:val="22"/>
    </w:rPr>
  </w:style>
  <w:style w:type="paragraph" w:styleId="Title">
    <w:name w:val="Title"/>
    <w:basedOn w:val="Normal"/>
    <w:next w:val="Normal"/>
    <w:link w:val="TitleChar"/>
    <w:uiPriority w:val="10"/>
    <w:qFormat/>
    <w:rsid w:val="00856E20"/>
    <w:pPr>
      <w:keepNext/>
      <w:keepLines/>
      <w:spacing w:before="360" w:after="480"/>
      <w:ind w:left="1134" w:right="992" w:firstLine="0"/>
      <w:jc w:val="center"/>
    </w:pPr>
    <w:rPr>
      <w:b/>
      <w:color w:val="002060"/>
      <w:sz w:val="28"/>
      <w:szCs w:val="28"/>
    </w:rPr>
  </w:style>
  <w:style w:type="character" w:customStyle="1" w:styleId="TitleChar">
    <w:name w:val="Title Char"/>
    <w:basedOn w:val="DefaultParagraphFont"/>
    <w:link w:val="Title"/>
    <w:uiPriority w:val="10"/>
    <w:rsid w:val="00856E20"/>
    <w:rPr>
      <w:b/>
      <w:color w:val="002060"/>
      <w:sz w:val="28"/>
      <w:szCs w:val="28"/>
      <w:lang w:val="hy-AM"/>
    </w:rPr>
  </w:style>
  <w:style w:type="character" w:styleId="Strong">
    <w:name w:val="Strong"/>
    <w:uiPriority w:val="22"/>
    <w:qFormat/>
    <w:rsid w:val="006817DA"/>
    <w:rPr>
      <w:b/>
      <w:bCs/>
      <w:u w:val="single"/>
    </w:rPr>
  </w:style>
  <w:style w:type="table" w:customStyle="1" w:styleId="TableGrid1">
    <w:name w:val="Table Grid1"/>
    <w:basedOn w:val="TableNormal"/>
    <w:next w:val="TableGrid"/>
    <w:uiPriority w:val="39"/>
    <w:rsid w:val="0033452E"/>
    <w:pPr>
      <w:spacing w:after="0"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3C85"/>
    <w:rPr>
      <w:color w:val="666666"/>
    </w:rPr>
  </w:style>
  <w:style w:type="character" w:styleId="PageNumber">
    <w:name w:val="page number"/>
    <w:basedOn w:val="DefaultParagraphFont"/>
    <w:uiPriority w:val="99"/>
    <w:semiHidden/>
    <w:unhideWhenUsed/>
    <w:rsid w:val="00EF3C85"/>
  </w:style>
  <w:style w:type="character" w:styleId="BookTitle">
    <w:name w:val="Book Title"/>
    <w:basedOn w:val="DefaultParagraphFont"/>
    <w:uiPriority w:val="33"/>
    <w:qFormat/>
    <w:rsid w:val="00856E20"/>
    <w:rPr>
      <w:b/>
      <w:bCs/>
      <w:i/>
      <w:iCs/>
      <w:spacing w:val="5"/>
    </w:rPr>
  </w:style>
  <w:style w:type="paragraph" w:styleId="Quote">
    <w:name w:val="Quote"/>
    <w:basedOn w:val="Normal"/>
    <w:next w:val="Normal"/>
    <w:link w:val="QuoteChar"/>
    <w:uiPriority w:val="29"/>
    <w:qFormat/>
    <w:rsid w:val="006817DA"/>
    <w:rPr>
      <w:b/>
      <w:bCs/>
      <w:i/>
      <w:iCs/>
    </w:rPr>
  </w:style>
  <w:style w:type="character" w:customStyle="1" w:styleId="QuoteChar">
    <w:name w:val="Quote Char"/>
    <w:basedOn w:val="DefaultParagraphFont"/>
    <w:link w:val="Quote"/>
    <w:uiPriority w:val="29"/>
    <w:rsid w:val="006817DA"/>
    <w:rPr>
      <w:b/>
      <w:bCs/>
      <w:i/>
      <w:iCs/>
      <w:lang w:val="hy-AM"/>
    </w:rPr>
  </w:style>
  <w:style w:type="character" w:styleId="Hyperlink">
    <w:name w:val="Hyperlink"/>
    <w:basedOn w:val="DefaultParagraphFont"/>
    <w:uiPriority w:val="99"/>
    <w:unhideWhenUsed/>
    <w:rsid w:val="009A16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x.com/about-cosign-digital-signatur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rx.com/about-cosign-digital-signatur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rlis.am/DocumentView.aspx?DocID=16343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x.com/about-cosign-digital-signatu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rx.com/about-cosign-digital-signatur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rx.com/about-cosign-digital-signatures" TargetMode="External"/><Relationship Id="rId14" Type="http://schemas.openxmlformats.org/officeDocument/2006/relationships/image" Target="media/image2.w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rmsai.am/sites/default/files/Decree%2067-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81A1-E4D5-40EA-99DB-65E2F702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Հաշվեքննիչ պալատի 2026 թվականի գործունեության ծրագիրը</vt:lpstr>
    </vt:vector>
  </TitlesOfParts>
  <Company>diakov.net</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Հաշվեքննիչ պալատի 2026 թվականի գործունեության ծրագիրը</dc:title>
  <dc:subject/>
  <dc:creator>Gayane Matevosyan</dc:creator>
  <cp:keywords>https:/mul2.armsai.am/tasks/22624/oneclick?token=36676e996df66de77ce8d17ee9ccce5f</cp:keywords>
  <dc:description/>
  <cp:lastModifiedBy>Գայանե Մաթևոսյան</cp:lastModifiedBy>
  <cp:revision>3</cp:revision>
  <dcterms:created xsi:type="dcterms:W3CDTF">2025-12-11T05:24:00Z</dcterms:created>
  <dcterms:modified xsi:type="dcterms:W3CDTF">2025-12-11T05:31:00Z</dcterms:modified>
</cp:coreProperties>
</file>