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A5AA9" w14:textId="77777777" w:rsidR="002F0F06" w:rsidRDefault="002F0F06" w:rsidP="002F0F06">
      <w:pPr>
        <w:spacing w:after="0"/>
        <w:jc w:val="center"/>
        <w:rPr>
          <w:rFonts w:eastAsia="Times New Roman"/>
          <w:bCs/>
          <w:color w:val="1F4E79" w:themeColor="accent1" w:themeShade="80"/>
          <w:sz w:val="28"/>
          <w:szCs w:val="28"/>
        </w:rPr>
      </w:pPr>
      <w:r w:rsidRPr="003B5B7B">
        <w:rPr>
          <w:noProof/>
          <w:color w:val="1F4E79" w:themeColor="accent1" w:themeShade="80"/>
        </w:rPr>
        <w:drawing>
          <wp:inline distT="0" distB="0" distL="0" distR="0" wp14:anchorId="5D08D03C" wp14:editId="36296670">
            <wp:extent cx="1268316" cy="1238250"/>
            <wp:effectExtent l="0" t="0" r="8255" b="0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118" cy="124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4CC0E" w14:textId="77777777" w:rsidR="002F0F06" w:rsidRPr="003B5B7B" w:rsidRDefault="002F0F06" w:rsidP="002F0F06">
      <w:pPr>
        <w:spacing w:after="0"/>
        <w:jc w:val="center"/>
        <w:rPr>
          <w:rFonts w:eastAsia="Times New Roman"/>
          <w:bCs/>
          <w:color w:val="1F4E79" w:themeColor="accent1" w:themeShade="80"/>
          <w:sz w:val="28"/>
          <w:szCs w:val="28"/>
        </w:rPr>
      </w:pPr>
    </w:p>
    <w:p w14:paraId="4BE4F393" w14:textId="77777777" w:rsidR="002F0F06" w:rsidRPr="002F0F06" w:rsidRDefault="002F0F06" w:rsidP="002F0F06">
      <w:pPr>
        <w:spacing w:after="0"/>
        <w:jc w:val="center"/>
        <w:rPr>
          <w:rFonts w:eastAsia="Times New Roman"/>
          <w:bCs/>
          <w:color w:val="1F4E79" w:themeColor="accent1" w:themeShade="80"/>
          <w:sz w:val="28"/>
          <w:szCs w:val="28"/>
          <w:lang w:val="hy-AM"/>
        </w:rPr>
      </w:pPr>
      <w:r w:rsidRPr="002F0F06">
        <w:rPr>
          <w:rFonts w:eastAsia="Times New Roman"/>
          <w:bCs/>
          <w:color w:val="1F4E79" w:themeColor="accent1" w:themeShade="80"/>
          <w:sz w:val="28"/>
          <w:szCs w:val="28"/>
          <w:lang w:val="hy-AM"/>
        </w:rPr>
        <w:t xml:space="preserve">ՀԱՅԱՍՏԱՆԻ ՀԱՆՐԱՊԵՏՈՒԹՅԱՆ </w:t>
      </w:r>
    </w:p>
    <w:p w14:paraId="29613AFA" w14:textId="77777777" w:rsidR="002F0F06" w:rsidRPr="002F0F06" w:rsidRDefault="002F0F06" w:rsidP="002F0F06">
      <w:pPr>
        <w:spacing w:after="0"/>
        <w:jc w:val="center"/>
        <w:rPr>
          <w:rFonts w:eastAsia="Times New Roman"/>
          <w:bCs/>
          <w:color w:val="1F4E79" w:themeColor="accent1" w:themeShade="80"/>
          <w:sz w:val="28"/>
          <w:szCs w:val="28"/>
          <w:lang w:val="hy-AM"/>
        </w:rPr>
      </w:pPr>
      <w:r w:rsidRPr="002F0F06">
        <w:rPr>
          <w:rFonts w:eastAsia="Times New Roman"/>
          <w:bCs/>
          <w:color w:val="1F4E79" w:themeColor="accent1" w:themeShade="80"/>
          <w:sz w:val="28"/>
          <w:szCs w:val="28"/>
          <w:lang w:val="hy-AM"/>
        </w:rPr>
        <w:t>ՀԱՇՎԵՔՆՆԻՉ ՊԱԼԱՏ</w:t>
      </w:r>
    </w:p>
    <w:p w14:paraId="122043DE" w14:textId="77777777" w:rsidR="002F0F06" w:rsidRPr="002F0F06" w:rsidRDefault="002F0F06" w:rsidP="002F0F06">
      <w:pPr>
        <w:spacing w:after="0"/>
        <w:jc w:val="center"/>
        <w:rPr>
          <w:rFonts w:eastAsia="Times New Roman"/>
          <w:bCs/>
          <w:color w:val="1F4E79" w:themeColor="accent1" w:themeShade="80"/>
          <w:sz w:val="28"/>
          <w:szCs w:val="28"/>
          <w:lang w:val="hy-AM"/>
        </w:rPr>
      </w:pPr>
    </w:p>
    <w:p w14:paraId="7AD85437" w14:textId="77777777" w:rsidR="002F0F06" w:rsidRPr="002F0F06" w:rsidRDefault="002F0F06" w:rsidP="002F0F06">
      <w:pPr>
        <w:spacing w:after="0" w:line="276" w:lineRule="auto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  <w:lang w:val="hy-AM"/>
        </w:rPr>
      </w:pPr>
      <w:r w:rsidRPr="002F0F06">
        <w:rPr>
          <w:rFonts w:eastAsia="Times New Roman"/>
          <w:b/>
          <w:bCs/>
          <w:color w:val="1F4E79" w:themeColor="accent1" w:themeShade="80"/>
          <w:sz w:val="32"/>
          <w:szCs w:val="28"/>
          <w:lang w:val="hy-AM"/>
        </w:rPr>
        <w:t>Ո Ր Ո Շ ՈՒ Մ</w:t>
      </w:r>
    </w:p>
    <w:p w14:paraId="5823C780" w14:textId="77777777" w:rsidR="002F0F06" w:rsidRPr="002F0F06" w:rsidRDefault="002F0F06" w:rsidP="002F0F06">
      <w:pPr>
        <w:jc w:val="center"/>
        <w:rPr>
          <w:rFonts w:eastAsia="Times New Roman" w:cs="Times New Roman"/>
          <w:color w:val="44546A" w:themeColor="text2"/>
          <w:lang w:val="hy-AM"/>
        </w:rPr>
      </w:pPr>
    </w:p>
    <w:p w14:paraId="6FA96DB6" w14:textId="77777777" w:rsidR="00C067A3" w:rsidRPr="002F0F06" w:rsidRDefault="002F0F06" w:rsidP="002F0F06">
      <w:pPr>
        <w:jc w:val="center"/>
        <w:rPr>
          <w:rFonts w:eastAsia="Times New Roman" w:cs="Times New Roman"/>
          <w:color w:val="44546A" w:themeColor="text2"/>
          <w:lang w:val="hy-AM"/>
        </w:rPr>
      </w:pPr>
      <w:r w:rsidRPr="002F0F06">
        <w:rPr>
          <w:rFonts w:eastAsia="Times New Roman" w:cs="Times New Roman"/>
          <w:color w:val="44546A" w:themeColor="text2"/>
          <w:lang w:val="hy-AM"/>
        </w:rPr>
        <w:t>2025 թվականի նոյեմբերի 27-ի № 80-Լ</w:t>
      </w:r>
    </w:p>
    <w:p w14:paraId="51E2D4C1" w14:textId="77777777" w:rsidR="002F0F06" w:rsidRPr="002F0F06" w:rsidRDefault="002F0F06" w:rsidP="002F0F06">
      <w:pPr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lang w:val="hy-AM"/>
        </w:rPr>
      </w:pPr>
      <w:bookmarkStart w:id="0" w:name="_Hlk170726539"/>
      <w:bookmarkStart w:id="1" w:name="_GoBack"/>
      <w:bookmarkEnd w:id="1"/>
    </w:p>
    <w:p w14:paraId="0608D0D9" w14:textId="77777777" w:rsidR="002F0F06" w:rsidRPr="002F0F06" w:rsidRDefault="002F0F06" w:rsidP="002F0F06">
      <w:pPr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lang w:val="hy-AM"/>
        </w:rPr>
      </w:pPr>
      <w:r w:rsidRPr="002F0F06">
        <w:rPr>
          <w:rFonts w:eastAsia="Times New Roman" w:cs="Times New Roman"/>
          <w:b/>
          <w:bCs/>
          <w:color w:val="000000" w:themeColor="text1"/>
          <w:sz w:val="26"/>
          <w:szCs w:val="26"/>
          <w:lang w:val="hy-AM"/>
        </w:rPr>
        <w:t xml:space="preserve">ՀԱՇՎԵՔՆՆԻՉ ՊԱԼԱՏԻ </w:t>
      </w:r>
      <w:r w:rsidRPr="002F0F06">
        <w:rPr>
          <w:rFonts w:cs="Times New Roman"/>
          <w:b/>
          <w:sz w:val="26"/>
          <w:szCs w:val="26"/>
          <w:lang w:val="hy-AM"/>
        </w:rPr>
        <w:t>2024 ԹՎԱԿԱՆԻ ՆՈՅԵՄԲԵՐԻ 29-Ի № 123-Լ ՈՐՈՇՄԱՆ ՄԵՋ ԼՐԱՑՈՒՄ ԿԱՏԱՐԵԼՈՒ</w:t>
      </w:r>
      <w:r w:rsidRPr="002F0F06">
        <w:rPr>
          <w:rFonts w:eastAsia="Times New Roman" w:cs="Times New Roman"/>
          <w:b/>
          <w:bCs/>
          <w:color w:val="000000" w:themeColor="text1"/>
          <w:sz w:val="26"/>
          <w:szCs w:val="26"/>
          <w:lang w:val="hy-AM"/>
        </w:rPr>
        <w:t xml:space="preserve"> ՄԱՍԻՆ</w:t>
      </w:r>
      <w:bookmarkEnd w:id="0"/>
    </w:p>
    <w:p w14:paraId="1B40DB6B" w14:textId="77777777" w:rsidR="002F0F06" w:rsidRPr="002F0F06" w:rsidRDefault="002F0F06" w:rsidP="002F0F06">
      <w:pPr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lang w:val="hy-AM"/>
        </w:rPr>
      </w:pPr>
    </w:p>
    <w:p w14:paraId="222E4F65" w14:textId="77777777" w:rsidR="002F0F06" w:rsidRPr="002F0F06" w:rsidRDefault="002F0F06" w:rsidP="002F0F06">
      <w:pPr>
        <w:spacing w:after="0" w:line="276" w:lineRule="auto"/>
        <w:ind w:firstLine="567"/>
        <w:jc w:val="both"/>
        <w:rPr>
          <w:rFonts w:eastAsia="Times New Roman" w:cs="Sylfaen"/>
          <w:color w:val="000000" w:themeColor="text1"/>
          <w:lang w:val="hy-AM"/>
        </w:rPr>
      </w:pPr>
      <w:r w:rsidRPr="002F0F06">
        <w:rPr>
          <w:rFonts w:eastAsia="Times New Roman" w:cs="Sylfaen"/>
          <w:color w:val="000000" w:themeColor="text1"/>
          <w:lang w:val="hy-AM"/>
        </w:rPr>
        <w:t>Ղեկավարվելով Հաշվեքննիչ պալատի մասին օրենքի</w:t>
      </w:r>
      <w:r w:rsidRPr="002F0F06">
        <w:rPr>
          <w:rFonts w:eastAsia="Times New Roman" w:cs="Times New Roman"/>
          <w:color w:val="000000" w:themeColor="text1"/>
          <w:lang w:val="hy-AM"/>
        </w:rPr>
        <w:t xml:space="preserve"> 10-րդ հոդվածի 1-ին մասի 2-րդ և 11-րդ կետերով և «Նորմատիվ իրավական ակտերի մասին» օրենքի 33-րդ 3-րդ մասով` </w:t>
      </w:r>
      <w:r w:rsidRPr="002F0F06">
        <w:rPr>
          <w:rFonts w:eastAsia="Times New Roman" w:cs="Sylfaen"/>
          <w:color w:val="000000" w:themeColor="text1"/>
          <w:lang w:val="hy-AM"/>
        </w:rPr>
        <w:t>Հաշվեքննիչ պալատը</w:t>
      </w:r>
    </w:p>
    <w:p w14:paraId="65A8A005" w14:textId="77777777" w:rsidR="002F0F06" w:rsidRPr="002F0F06" w:rsidRDefault="002F0F06" w:rsidP="002F0F06">
      <w:pPr>
        <w:spacing w:after="0" w:line="276" w:lineRule="auto"/>
        <w:jc w:val="center"/>
        <w:rPr>
          <w:rFonts w:eastAsia="Times New Roman" w:cs="Times New Roman"/>
          <w:b/>
          <w:bCs/>
          <w:color w:val="000000" w:themeColor="text1"/>
          <w:lang w:val="hy-AM"/>
        </w:rPr>
      </w:pPr>
    </w:p>
    <w:p w14:paraId="110FC0DA" w14:textId="77777777" w:rsidR="002F0F06" w:rsidRPr="002F0F06" w:rsidRDefault="002F0F06" w:rsidP="002F0F06">
      <w:pPr>
        <w:spacing w:after="0" w:line="276" w:lineRule="auto"/>
        <w:jc w:val="center"/>
        <w:rPr>
          <w:rFonts w:eastAsia="Times New Roman" w:cs="Times New Roman"/>
          <w:b/>
          <w:bCs/>
          <w:color w:val="000000" w:themeColor="text1"/>
          <w:lang w:val="hy-AM"/>
        </w:rPr>
      </w:pPr>
    </w:p>
    <w:p w14:paraId="2466274A" w14:textId="77777777" w:rsidR="002F0F06" w:rsidRPr="002F0F06" w:rsidRDefault="002F0F06" w:rsidP="002F0F06">
      <w:pPr>
        <w:spacing w:line="276" w:lineRule="auto"/>
        <w:jc w:val="center"/>
        <w:rPr>
          <w:rFonts w:eastAsia="Times New Roman" w:cs="Times New Roman"/>
          <w:b/>
          <w:bCs/>
          <w:color w:val="000000" w:themeColor="text1"/>
          <w:lang w:val="hy-AM"/>
        </w:rPr>
      </w:pPr>
      <w:r w:rsidRPr="002F0F06">
        <w:rPr>
          <w:rFonts w:eastAsia="Times New Roman" w:cs="Times New Roman"/>
          <w:b/>
          <w:bCs/>
          <w:color w:val="000000" w:themeColor="text1"/>
          <w:lang w:val="hy-AM"/>
        </w:rPr>
        <w:t>Ո Ր Ո Շ ՈՒ Մ  Է`</w:t>
      </w:r>
    </w:p>
    <w:p w14:paraId="7DFE0F48" w14:textId="77777777" w:rsidR="002F0F06" w:rsidRPr="002F0F06" w:rsidRDefault="002F0F06" w:rsidP="002F0F06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cs="Sylfaen"/>
          <w:lang w:val="hy-AM"/>
        </w:rPr>
      </w:pPr>
      <w:bookmarkStart w:id="2" w:name="_Hlk204165105"/>
      <w:r w:rsidRPr="002F0F06">
        <w:rPr>
          <w:rFonts w:cs="Sylfaen"/>
          <w:lang w:val="hy-AM"/>
        </w:rPr>
        <w:t>Հաշվեքննիչ պալատի 2024 թվականի նոյեմբերի 29-ի «Հաշվեքննիչ պալատի 2025 թվականի գործունեության ծրագիրը և հաշվեքննիչ պալատի 2025 թվականի գործունեության ծրագրի առաջին բաժնով նախատեսված ծրագրային կետերի ընտրության հիմնավորումը հաստատելու մասին» № 123-Լ որոշման</w:t>
      </w:r>
      <w:bookmarkEnd w:id="2"/>
      <w:r w:rsidRPr="002F0F06">
        <w:rPr>
          <w:rFonts w:cs="Sylfaen"/>
          <w:lang w:val="hy-AM"/>
        </w:rPr>
        <w:t xml:space="preserve"> (այսուհետ՝ Որոշում) № 1 հավելվածի 1-ին բաժնի 11-րդ կետից հետո լրացնել նոր 12-րդ կետ հետևյալ բովանդակությամբ՝</w:t>
      </w:r>
    </w:p>
    <w:tbl>
      <w:tblPr>
        <w:tblStyle w:val="TableGrid"/>
        <w:tblpPr w:leftFromText="180" w:rightFromText="180" w:vertAnchor="text" w:horzAnchor="margin" w:tblpXSpec="center" w:tblpY="139"/>
        <w:tblW w:w="9776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701"/>
        <w:gridCol w:w="1984"/>
        <w:gridCol w:w="1985"/>
        <w:gridCol w:w="850"/>
      </w:tblGrid>
      <w:tr w:rsidR="002F0F06" w:rsidRPr="002F0F06" w14:paraId="6BAC696B" w14:textId="77777777" w:rsidTr="002F0F06">
        <w:trPr>
          <w:trHeight w:val="983"/>
        </w:trPr>
        <w:tc>
          <w:tcPr>
            <w:tcW w:w="562" w:type="dxa"/>
            <w:vAlign w:val="center"/>
          </w:tcPr>
          <w:p w14:paraId="169D2F5A" w14:textId="77777777" w:rsidR="002F0F06" w:rsidRPr="002F0F06" w:rsidRDefault="002F0F06" w:rsidP="002F0F06">
            <w:pPr>
              <w:widowControl w:val="0"/>
              <w:autoSpaceDN w:val="0"/>
              <w:adjustRightInd w:val="0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12.</w:t>
            </w:r>
          </w:p>
        </w:tc>
        <w:tc>
          <w:tcPr>
            <w:tcW w:w="2694" w:type="dxa"/>
            <w:vAlign w:val="center"/>
          </w:tcPr>
          <w:p w14:paraId="272E3C48" w14:textId="77777777" w:rsidR="002F0F06" w:rsidRPr="002F0F06" w:rsidRDefault="002F0F06" w:rsidP="002F0F06">
            <w:pPr>
              <w:widowControl w:val="0"/>
              <w:autoSpaceDN w:val="0"/>
              <w:adjustRightInd w:val="0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Հանրային իշխանության մարմիններ և </w:t>
            </w:r>
            <w:r w:rsidRPr="002F0F0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դրանց</w:t>
            </w: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հիմնադրած՝ պետական </w:t>
            </w:r>
            <w:r w:rsidRPr="002F0F0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 xml:space="preserve">և համայնքային </w:t>
            </w: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գործառույթներով օժտված այլ իրավաբանական անձինք</w:t>
            </w:r>
          </w:p>
        </w:tc>
        <w:tc>
          <w:tcPr>
            <w:tcW w:w="1701" w:type="dxa"/>
            <w:vAlign w:val="center"/>
          </w:tcPr>
          <w:p w14:paraId="33CB4C8E" w14:textId="77777777" w:rsidR="002F0F06" w:rsidRPr="002F0F06" w:rsidRDefault="002F0F06" w:rsidP="002F0F06">
            <w:pPr>
              <w:widowControl w:val="0"/>
              <w:autoSpaceDN w:val="0"/>
              <w:adjustRightInd w:val="0"/>
              <w:jc w:val="center"/>
              <w:rPr>
                <w:rFonts w:ascii="GHEA Grapalat" w:hAnsi="GHEA Grapalat" w:cs="Calibri"/>
                <w:sz w:val="18"/>
                <w:szCs w:val="18"/>
                <w:lang w:val="hy-AM"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Տրանսպորտային միջոցների</w:t>
            </w:r>
            <w:r w:rsidRPr="002F0F06" w:rsidDel="00730B6A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r w:rsidRPr="002F0F0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շահագործում</w:t>
            </w:r>
          </w:p>
        </w:tc>
        <w:tc>
          <w:tcPr>
            <w:tcW w:w="1984" w:type="dxa"/>
            <w:vAlign w:val="center"/>
          </w:tcPr>
          <w:p w14:paraId="1944B87B" w14:textId="77777777" w:rsidR="002F0F06" w:rsidRPr="002F0F06" w:rsidRDefault="002F0F06" w:rsidP="002F0F06">
            <w:pPr>
              <w:widowControl w:val="0"/>
              <w:autoSpaceDN w:val="0"/>
              <w:adjustRightInd w:val="0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 հաշվեքննություն</w:t>
            </w:r>
          </w:p>
        </w:tc>
        <w:tc>
          <w:tcPr>
            <w:tcW w:w="1985" w:type="dxa"/>
            <w:vAlign w:val="center"/>
          </w:tcPr>
          <w:p w14:paraId="7C6618CD" w14:textId="77777777" w:rsidR="002F0F06" w:rsidRPr="002F0F06" w:rsidRDefault="002F0F06" w:rsidP="002F0F06">
            <w:pPr>
              <w:widowControl w:val="0"/>
              <w:autoSpaceDN w:val="0"/>
              <w:adjustRightInd w:val="0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850" w:type="dxa"/>
            <w:vAlign w:val="center"/>
          </w:tcPr>
          <w:p w14:paraId="73D273AB" w14:textId="77777777" w:rsidR="002F0F06" w:rsidRPr="002F0F06" w:rsidRDefault="002F0F06" w:rsidP="002F0F06">
            <w:pPr>
              <w:widowControl w:val="0"/>
              <w:autoSpaceDN w:val="0"/>
              <w:adjustRightInd w:val="0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50552947" w14:textId="77777777" w:rsidR="002F0F06" w:rsidRPr="002F0F06" w:rsidRDefault="002F0F06" w:rsidP="002F0F06">
      <w:pPr>
        <w:tabs>
          <w:tab w:val="left" w:pos="851"/>
        </w:tabs>
        <w:spacing w:after="0" w:line="276" w:lineRule="auto"/>
        <w:ind w:left="-90"/>
        <w:contextualSpacing/>
        <w:jc w:val="both"/>
        <w:rPr>
          <w:rFonts w:cs="Sylfaen"/>
          <w:sz w:val="18"/>
          <w:szCs w:val="18"/>
          <w:lang w:val="hy-AM"/>
        </w:rPr>
      </w:pPr>
      <w:r w:rsidRPr="002F0F06">
        <w:rPr>
          <w:rFonts w:cs="Sylfaen"/>
          <w:lang w:val="hy-AM"/>
        </w:rPr>
        <w:t xml:space="preserve"> </w:t>
      </w:r>
    </w:p>
    <w:p w14:paraId="6E1D68EC" w14:textId="77777777" w:rsidR="002F0F06" w:rsidRPr="002F0F06" w:rsidRDefault="002F0F06" w:rsidP="002F0F06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80" w:line="276" w:lineRule="auto"/>
        <w:ind w:left="0" w:firstLine="567"/>
        <w:jc w:val="both"/>
        <w:rPr>
          <w:rFonts w:cs="Sylfaen"/>
          <w:lang w:val="hy-AM"/>
        </w:rPr>
      </w:pPr>
      <w:r w:rsidRPr="002F0F06">
        <w:rPr>
          <w:rFonts w:eastAsia="Times New Roman" w:cs="Times New Roman"/>
          <w:bCs/>
          <w:color w:val="000000" w:themeColor="text1"/>
          <w:lang w:val="hy-AM"/>
        </w:rPr>
        <w:t xml:space="preserve">Որոշման </w:t>
      </w:r>
      <w:r w:rsidRPr="002F0F06">
        <w:rPr>
          <w:rFonts w:cs="Sylfaen"/>
          <w:lang w:val="hy-AM"/>
        </w:rPr>
        <w:t xml:space="preserve">№ 2 հավելվածի 3-րդ բաժնում 2-րդ կետից հետո լրացնել նոր 3-րդ կետ հետևյալ բովանդակությամբ՝ </w:t>
      </w:r>
    </w:p>
    <w:p w14:paraId="794F27A8" w14:textId="77777777" w:rsidR="002F0F06" w:rsidRPr="002F0F06" w:rsidRDefault="002F0F06" w:rsidP="002F0F06">
      <w:pPr>
        <w:autoSpaceDE w:val="0"/>
        <w:autoSpaceDN w:val="0"/>
        <w:adjustRightInd w:val="0"/>
        <w:spacing w:after="80" w:line="276" w:lineRule="auto"/>
        <w:ind w:firstLine="567"/>
        <w:jc w:val="both"/>
        <w:rPr>
          <w:b/>
          <w:lang w:val="hy-AM"/>
        </w:rPr>
      </w:pPr>
      <w:r w:rsidRPr="002F0F06">
        <w:rPr>
          <w:lang w:val="hy-AM"/>
        </w:rPr>
        <w:lastRenderedPageBreak/>
        <w:t>«</w:t>
      </w:r>
      <w:r w:rsidRPr="002F0F06">
        <w:rPr>
          <w:b/>
          <w:lang w:val="hy-AM"/>
        </w:rPr>
        <w:t>3. Տրանսպորտային միջոցների շահագործում</w:t>
      </w:r>
    </w:p>
    <w:p w14:paraId="6CB15708" w14:textId="77777777" w:rsidR="002F0F06" w:rsidRPr="002F0F06" w:rsidRDefault="002F0F06" w:rsidP="002F0F06">
      <w:pPr>
        <w:keepNext/>
        <w:keepLines/>
        <w:autoSpaceDE w:val="0"/>
        <w:autoSpaceDN w:val="0"/>
        <w:adjustRightInd w:val="0"/>
        <w:spacing w:after="80" w:line="276" w:lineRule="auto"/>
        <w:ind w:firstLine="567"/>
        <w:jc w:val="both"/>
        <w:rPr>
          <w:rFonts w:cstheme="minorBidi"/>
          <w:b/>
          <w:i/>
          <w:lang w:val="hy-AM"/>
        </w:rPr>
      </w:pPr>
      <w:r w:rsidRPr="002F0F06">
        <w:rPr>
          <w:b/>
          <w:i/>
          <w:lang w:val="hy-AM"/>
        </w:rPr>
        <w:t>(Առաջնահերթություն 6)</w:t>
      </w:r>
    </w:p>
    <w:p w14:paraId="6A64C99C" w14:textId="77777777" w:rsidR="002F0F06" w:rsidRPr="002F0F06" w:rsidRDefault="002F0F06" w:rsidP="002F0F06">
      <w:pPr>
        <w:spacing w:after="80" w:line="276" w:lineRule="auto"/>
        <w:rPr>
          <w:sz w:val="2"/>
          <w:szCs w:val="21"/>
          <w:lang w:val="hy-AM"/>
        </w:rPr>
      </w:pPr>
    </w:p>
    <w:p w14:paraId="379761AE" w14:textId="77777777" w:rsidR="002F0F06" w:rsidRPr="002F0F06" w:rsidRDefault="002F0F06" w:rsidP="002F0F06">
      <w:pPr>
        <w:spacing w:after="0" w:line="276" w:lineRule="auto"/>
        <w:ind w:firstLine="539"/>
        <w:jc w:val="both"/>
        <w:rPr>
          <w:lang w:val="hy-AM"/>
        </w:rPr>
      </w:pPr>
      <w:r w:rsidRPr="002F0F06">
        <w:rPr>
          <w:lang w:val="hy-AM"/>
        </w:rPr>
        <w:t>Հաշվեքննիչ պալատը, հաշվի առնելով պետական և համայնքների բյուջեների հաշվին շահագործվող տրանսպորտային միջոցների վերաբերյալ հանրային հաղորդակցության միջոցներում տևական անդրադարձը, ինչպես նաև ստացված ազդակները, վերլուծել է խնդրին վերաբերելի՝ բաց աղբյուրներում առկա տեղեկատվությունը և արձանագրել է, որ առկա են որոշակի ռիսկեր։ Մասնավորապես, աճել են տրանսպորտային միջոցների նորոգման և պահպանման ծախսերը, մեծ է մեկ անձից գնումների մասնաբաժինը, նկատվում են գների շեղումներ շուկայականից, ինչպես նաև զգալի է պայմանագրերի կենտրոնացման աստիճանը, որոնք կարող են հանգեցնել հանրային սեփականության կառավարման խնդիրների՝ խոչընդոտելով հանրային ֆինանսների արդյունավետ օգտագործման հնարավորությունը։</w:t>
      </w:r>
    </w:p>
    <w:p w14:paraId="458B1B4A" w14:textId="77777777" w:rsidR="002F0F06" w:rsidRPr="002F0F06" w:rsidRDefault="002F0F06" w:rsidP="002F0F06">
      <w:pPr>
        <w:spacing w:after="0" w:line="276" w:lineRule="auto"/>
        <w:ind w:firstLine="539"/>
        <w:jc w:val="both"/>
        <w:rPr>
          <w:lang w:val="hy-AM"/>
        </w:rPr>
      </w:pPr>
      <w:r w:rsidRPr="002F0F06">
        <w:rPr>
          <w:lang w:val="hy-AM"/>
        </w:rPr>
        <w:t>Հաշվեքննությամբ նախատեսվում է գնահատել տրանսպորտային միջոցների շահագործման</w:t>
      </w:r>
      <w:r w:rsidRPr="002F0F06">
        <w:rPr>
          <w:rStyle w:val="FootnoteReference"/>
          <w:lang w:val="hy-AM"/>
        </w:rPr>
        <w:footnoteReference w:id="1"/>
      </w:r>
      <w:r w:rsidRPr="002F0F06">
        <w:rPr>
          <w:lang w:val="hy-AM"/>
        </w:rPr>
        <w:t xml:space="preserve"> համապատասխանությունն իրավական ակտերով և քաղաքացիաիրավական պայմանագրերով սահմանված պահանջներին»։</w:t>
      </w:r>
    </w:p>
    <w:p w14:paraId="04A2BFE0" w14:textId="77777777" w:rsidR="002F0F06" w:rsidRPr="002F0F06" w:rsidRDefault="002F0F06" w:rsidP="002F0F06">
      <w:pPr>
        <w:pStyle w:val="ListParagraph"/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284"/>
        <w:jc w:val="both"/>
        <w:rPr>
          <w:rFonts w:eastAsia="Times New Roman" w:cs="Times New Roman"/>
          <w:bCs/>
          <w:color w:val="000000" w:themeColor="text1"/>
          <w:lang w:val="hy-AM"/>
        </w:rPr>
      </w:pPr>
      <w:r w:rsidRPr="002F0F06">
        <w:rPr>
          <w:rFonts w:eastAsia="Times New Roman" w:cs="Times New Roman"/>
          <w:bCs/>
          <w:color w:val="000000" w:themeColor="text1"/>
          <w:lang w:val="hy-AM"/>
        </w:rPr>
        <w:t xml:space="preserve">Սույն որոշումն ուժի մեջ է մտնում հրապարակմանը հաջորդող օրվանից: </w:t>
      </w:r>
    </w:p>
    <w:p w14:paraId="72A7AD9E" w14:textId="77777777" w:rsidR="002F0F06" w:rsidRPr="002F0F06" w:rsidRDefault="002F0F06" w:rsidP="002F0F06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p w14:paraId="25BC7DE9" w14:textId="77777777" w:rsidR="002F0F06" w:rsidRPr="002F0F06" w:rsidRDefault="002F0F06" w:rsidP="002F0F06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p w14:paraId="4B3722B2" w14:textId="77777777" w:rsidR="002F0F06" w:rsidRPr="002F0F06" w:rsidRDefault="002F0F06" w:rsidP="002F0F06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p w14:paraId="1D3AD258" w14:textId="77777777" w:rsidR="002F0F06" w:rsidRPr="002F0F06" w:rsidRDefault="002F0F06" w:rsidP="002F0F06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p w14:paraId="74A43EFA" w14:textId="77777777" w:rsidR="002F0F06" w:rsidRPr="002F0F06" w:rsidRDefault="002F0F06" w:rsidP="002F0F06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1957"/>
        <w:gridCol w:w="4535"/>
      </w:tblGrid>
      <w:tr w:rsidR="002F0F06" w:rsidRPr="002F0F06" w14:paraId="69F9BC85" w14:textId="77777777" w:rsidTr="00E90F51">
        <w:tc>
          <w:tcPr>
            <w:tcW w:w="3288" w:type="dxa"/>
          </w:tcPr>
          <w:p w14:paraId="5C10E1D2" w14:textId="77777777" w:rsidR="002F0F06" w:rsidRPr="002F0F06" w:rsidRDefault="002F0F06" w:rsidP="00E90F51">
            <w:pPr>
              <w:tabs>
                <w:tab w:val="left" w:pos="1095"/>
                <w:tab w:val="center" w:pos="5245"/>
              </w:tabs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2F0F06">
              <w:rPr>
                <w:rFonts w:ascii="GHEA Grapalat" w:hAnsi="GHEA Grapalat"/>
                <w:lang w:val="hy-AM"/>
              </w:rPr>
              <w:t xml:space="preserve">ՀԱՇՎԵՔՆՆԻՉ ՊԱԼԱՏԻ </w:t>
            </w:r>
            <w:hyperlink r:id="rId8" w:tooltip="Ctrl+Click to validate and learn more about this digital signature" w:history="1"/>
            <w:hyperlink r:id="rId9" w:tooltip="Ctrl+Click to validate and learn more about this digital signature" w:history="1"/>
            <w:hyperlink r:id="rId10" w:tooltip="Ctrl+Click to validate and learn more about this digital signature" w:history="1"/>
            <w:hyperlink r:id="rId11" w:tooltip="Ctrl+Click to validate and learn more about this digital signature" w:history="1"/>
            <w:r w:rsidRPr="002F0F06">
              <w:rPr>
                <w:rFonts w:ascii="GHEA Grapalat" w:eastAsiaTheme="minorHAnsi" w:hAnsi="GHEA Grapalat"/>
                <w:lang w:val="hy-AM"/>
              </w:rPr>
              <w:t>ՆԱԽԱԳԱՀ</w:t>
            </w:r>
          </w:p>
        </w:tc>
        <w:tc>
          <w:tcPr>
            <w:tcW w:w="1957" w:type="dxa"/>
          </w:tcPr>
          <w:p w14:paraId="0EB42FCD" w14:textId="792870FE" w:rsidR="002F0F06" w:rsidRPr="002F0F06" w:rsidRDefault="00F72B2E" w:rsidP="002F0F06">
            <w:pPr>
              <w:tabs>
                <w:tab w:val="left" w:pos="720"/>
              </w:tabs>
              <w:ind w:firstLine="305"/>
              <w:contextualSpacing/>
              <w:jc w:val="center"/>
              <w:rPr>
                <w:rFonts w:ascii="GHEA Grapalat" w:eastAsia="Times New Roman" w:hAnsi="GHEA Grapalat"/>
                <w:lang w:val="hy-AM"/>
              </w:rPr>
            </w:pPr>
            <w:hyperlink r:id="rId12" w:tooltip="Ctrl+Click to validate and learn more about this digital signature" w:history="1">
              <w:r w:rsidR="00675037">
                <w:rPr>
                  <w:rFonts w:ascii="GHEA Grapalat" w:eastAsiaTheme="minorHAnsi" w:hAnsi="GHEA Grapalat"/>
                </w:rPr>
                <w:object w:dxaOrig="225" w:dyaOrig="225" w14:anchorId="57385B5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67.5pt;height:50.25pt" o:ole="">
                    <v:imagedata r:id="rId13" o:title=""/>
                  </v:shape>
                  <w:control r:id="rId14" w:name="ArGrDigsig1" w:shapeid="_x0000_i1026"/>
                </w:object>
              </w:r>
            </w:hyperlink>
            <w:hyperlink r:id="rId15" w:tooltip="Ctrl+Click to validate and learn more about this digital signature" w:history="1"/>
            <w:hyperlink r:id="rId16" w:tooltip="Ctrl+Click to validate and learn more about this digital signature" w:history="1"/>
          </w:p>
        </w:tc>
        <w:tc>
          <w:tcPr>
            <w:tcW w:w="4535" w:type="dxa"/>
          </w:tcPr>
          <w:p w14:paraId="319A7E46" w14:textId="77777777" w:rsidR="002F0F06" w:rsidRPr="002F0F06" w:rsidRDefault="002F0F06" w:rsidP="00E90F51">
            <w:pP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  <w:p w14:paraId="0EEB231E" w14:textId="77777777" w:rsidR="002F0F06" w:rsidRPr="002F0F06" w:rsidRDefault="002F0F06" w:rsidP="00E90F51">
            <w:pP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  <w:p w14:paraId="6DAEE7A6" w14:textId="77777777" w:rsidR="002F0F06" w:rsidRPr="002F0F06" w:rsidRDefault="002F0F06" w:rsidP="00E90F51">
            <w:pPr>
              <w:tabs>
                <w:tab w:val="left" w:pos="720"/>
              </w:tabs>
              <w:contextualSpacing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2F0F06">
              <w:rPr>
                <w:rFonts w:ascii="GHEA Grapalat" w:hAnsi="GHEA Grapalat" w:cs="Sylfaen"/>
                <w:lang w:val="hy-AM"/>
              </w:rPr>
              <w:t>ԱՏՈՄ ՋԱՆՋՈՒՂԱԶՅԱՆ</w:t>
            </w:r>
          </w:p>
        </w:tc>
      </w:tr>
    </w:tbl>
    <w:p w14:paraId="2CC225D7" w14:textId="77777777" w:rsidR="002F0F06" w:rsidRPr="00B64334" w:rsidRDefault="002F0F06" w:rsidP="002F0F06">
      <w:pPr>
        <w:tabs>
          <w:tab w:val="left" w:pos="0"/>
        </w:tabs>
        <w:spacing w:after="0" w:line="276" w:lineRule="auto"/>
        <w:ind w:left="-90"/>
        <w:jc w:val="right"/>
        <w:rPr>
          <w:rFonts w:cs="Sylfaen"/>
          <w:sz w:val="20"/>
          <w:szCs w:val="20"/>
          <w:lang w:val="af-ZA"/>
        </w:rPr>
      </w:pPr>
    </w:p>
    <w:p w14:paraId="2F3275AF" w14:textId="77777777" w:rsidR="002F0F06" w:rsidRPr="00B64334" w:rsidRDefault="002F0F06" w:rsidP="002F0F06"/>
    <w:p w14:paraId="3DD9867A" w14:textId="77777777" w:rsidR="002F0F06" w:rsidRPr="002F0F06" w:rsidRDefault="002F0F06" w:rsidP="002F0F06">
      <w:pPr>
        <w:jc w:val="center"/>
        <w:rPr>
          <w:lang w:val="hy-AM"/>
        </w:rPr>
      </w:pPr>
    </w:p>
    <w:sectPr w:rsidR="002F0F06" w:rsidRPr="002F0F06" w:rsidSect="002F0F06">
      <w:pgSz w:w="11906" w:h="16838"/>
      <w:pgMar w:top="1134" w:right="99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1E4E6" w14:textId="77777777" w:rsidR="00B543AB" w:rsidRDefault="00B543AB" w:rsidP="002F0F06">
      <w:pPr>
        <w:spacing w:after="0" w:line="240" w:lineRule="auto"/>
      </w:pPr>
      <w:r>
        <w:separator/>
      </w:r>
    </w:p>
  </w:endnote>
  <w:endnote w:type="continuationSeparator" w:id="0">
    <w:p w14:paraId="74C96013" w14:textId="77777777" w:rsidR="00B543AB" w:rsidRDefault="00B543AB" w:rsidP="002F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0A49B" w14:textId="77777777" w:rsidR="00B543AB" w:rsidRDefault="00B543AB" w:rsidP="002F0F06">
      <w:pPr>
        <w:spacing w:after="0" w:line="240" w:lineRule="auto"/>
      </w:pPr>
      <w:r>
        <w:separator/>
      </w:r>
    </w:p>
  </w:footnote>
  <w:footnote w:type="continuationSeparator" w:id="0">
    <w:p w14:paraId="24A9E9BE" w14:textId="77777777" w:rsidR="00B543AB" w:rsidRDefault="00B543AB" w:rsidP="002F0F06">
      <w:pPr>
        <w:spacing w:after="0" w:line="240" w:lineRule="auto"/>
      </w:pPr>
      <w:r>
        <w:continuationSeparator/>
      </w:r>
    </w:p>
  </w:footnote>
  <w:footnote w:id="1">
    <w:p w14:paraId="1B8A6794" w14:textId="77777777" w:rsidR="002F0F06" w:rsidRPr="006B3FA1" w:rsidRDefault="002F0F06" w:rsidP="002F0F0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AD671E">
        <w:rPr>
          <w:lang w:val="hy-AM"/>
        </w:rPr>
        <w:t>«Ավտոմոբիլային տրանսպորտի մասին» ՀՀ օրենքի 4-րդ հոդված</w:t>
      </w:r>
      <w:r>
        <w:rPr>
          <w:lang w:val="hy-AM"/>
        </w:rPr>
        <w:t>ի համաձայն՝</w:t>
      </w:r>
      <w:r w:rsidRPr="00AD671E">
        <w:rPr>
          <w:rFonts w:ascii="Calibri" w:hAnsi="Calibri" w:cs="Calibri"/>
          <w:i/>
          <w:shd w:val="clear" w:color="auto" w:fill="FFFFFF"/>
        </w:rPr>
        <w:t> </w:t>
      </w:r>
      <w:r>
        <w:rPr>
          <w:shd w:val="clear" w:color="auto" w:fill="FFFFFF"/>
          <w:lang w:val="hy-AM"/>
        </w:rPr>
        <w:t>«</w:t>
      </w:r>
      <w:r w:rsidRPr="008373A2">
        <w:rPr>
          <w:i/>
          <w:iCs/>
          <w:shd w:val="clear" w:color="auto" w:fill="FFFFFF"/>
          <w:lang w:val="hy-AM"/>
        </w:rPr>
        <w:t>ա</w:t>
      </w:r>
      <w:r w:rsidRPr="008373A2">
        <w:rPr>
          <w:i/>
          <w:iCs/>
          <w:shd w:val="clear" w:color="auto" w:fill="FFFFFF"/>
        </w:rPr>
        <w:t>վտոմոբիլային</w:t>
      </w:r>
      <w:r w:rsidRPr="008373A2">
        <w:rPr>
          <w:rFonts w:ascii="Calibri" w:hAnsi="Calibri" w:cs="Calibri"/>
          <w:i/>
          <w:iCs/>
          <w:shd w:val="clear" w:color="auto" w:fill="FFFFFF"/>
        </w:rPr>
        <w:t> </w:t>
      </w:r>
      <w:r w:rsidRPr="008373A2">
        <w:rPr>
          <w:i/>
          <w:iCs/>
          <w:shd w:val="clear" w:color="auto" w:fill="FFFFFF"/>
        </w:rPr>
        <w:t xml:space="preserve">տրանսպորտի շարժակազմի շահագործման </w:t>
      </w:r>
      <w:r w:rsidRPr="008373A2">
        <w:rPr>
          <w:i/>
          <w:iCs/>
        </w:rPr>
        <w:t>արդյունավետության</w:t>
      </w:r>
      <w:r w:rsidRPr="008373A2">
        <w:rPr>
          <w:i/>
          <w:iCs/>
          <w:shd w:val="clear" w:color="auto" w:fill="FFFFFF"/>
        </w:rPr>
        <w:t xml:space="preserve"> ու անվտանգության ապահովման և շրջակա միջավայրի վրա ավտոմոբիլի վնասակար ազդեցության նվազագույն մակարդակի ապահովման համար իրականացվող տեխնիկական, տնտեսական և կազմակերպչական միջոցառումների համակարգ, որը ներառում է</w:t>
      </w:r>
      <w:r w:rsidRPr="008373A2">
        <w:rPr>
          <w:rFonts w:ascii="Calibri" w:hAnsi="Calibri" w:cs="Calibri"/>
          <w:i/>
          <w:iCs/>
          <w:shd w:val="clear" w:color="auto" w:fill="FFFFFF"/>
        </w:rPr>
        <w:t> </w:t>
      </w:r>
      <w:r w:rsidRPr="008373A2">
        <w:rPr>
          <w:i/>
          <w:iCs/>
          <w:shd w:val="clear" w:color="auto" w:fill="FFFFFF"/>
        </w:rPr>
        <w:t>ավտոմոբիլային</w:t>
      </w:r>
      <w:r w:rsidRPr="008373A2">
        <w:rPr>
          <w:rFonts w:ascii="Calibri" w:hAnsi="Calibri" w:cs="Calibri"/>
          <w:i/>
          <w:iCs/>
          <w:shd w:val="clear" w:color="auto" w:fill="FFFFFF"/>
        </w:rPr>
        <w:t> </w:t>
      </w:r>
      <w:r w:rsidRPr="008373A2">
        <w:rPr>
          <w:i/>
          <w:iCs/>
          <w:shd w:val="clear" w:color="auto" w:fill="FFFFFF"/>
        </w:rPr>
        <w:t>տրանսպորտի շարժակազմի պահպանումը, տեխնիկական սպասարկումները, ընթացիկ ու հիմնական նորոգումները և այդ աշխատանքների կատարման հաշվառումը</w:t>
      </w:r>
      <w:r w:rsidRPr="008373A2">
        <w:rPr>
          <w:i/>
          <w:iCs/>
          <w:shd w:val="clear" w:color="auto" w:fill="FFFFFF"/>
          <w:lang w:val="hy-AM"/>
        </w:rPr>
        <w:t>:</w:t>
      </w:r>
      <w:r>
        <w:rPr>
          <w:shd w:val="clear" w:color="auto" w:fill="FFFFFF"/>
          <w:lang w:val="hy-AM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D10D9"/>
    <w:multiLevelType w:val="hybridMultilevel"/>
    <w:tmpl w:val="FFFFFFFF"/>
    <w:lvl w:ilvl="0" w:tplc="BE928A80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7B"/>
    <w:rsid w:val="002C0C7B"/>
    <w:rsid w:val="002F0F06"/>
    <w:rsid w:val="00331D40"/>
    <w:rsid w:val="005E4F3C"/>
    <w:rsid w:val="00675037"/>
    <w:rsid w:val="007C066D"/>
    <w:rsid w:val="00AD130C"/>
    <w:rsid w:val="00B543AB"/>
    <w:rsid w:val="00C067A3"/>
    <w:rsid w:val="00DF0833"/>
    <w:rsid w:val="00F7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7E0E62C"/>
  <w15:chartTrackingRefBased/>
  <w15:docId w15:val="{3F938DF3-C17C-434F-82FB-3D7D1656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kern w:val="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F06"/>
    <w:rPr>
      <w:rFonts w:cs="Helvetica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F06"/>
    <w:pPr>
      <w:spacing w:after="0" w:line="240" w:lineRule="auto"/>
    </w:pPr>
    <w:rPr>
      <w:rFonts w:asciiTheme="minorHAnsi" w:eastAsiaTheme="minorEastAsia" w:hAnsiTheme="minorHAns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F0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F0F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0F06"/>
    <w:rPr>
      <w:rFonts w:cs="Helvetica"/>
      <w:kern w:val="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F0F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x.com/about-cosign-digital-signatures" TargetMode="Externa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rx.com/about-cosign-digital-signatur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rx.com/about-cosign-digital-signatur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x.com/about-cosign-digital-signatur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x.com/about-cosign-digital-signatures" TargetMode="External"/><Relationship Id="rId10" Type="http://schemas.openxmlformats.org/officeDocument/2006/relationships/hyperlink" Target="http://www.arx.com/about-cosign-digital-signatu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x.com/about-cosign-digital-signatures" TargetMode="External"/><Relationship Id="rId14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TQkAAO0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AA5AC8AMQAyAC8AMgAwADIANQAgADEANwA6ADAAMAAgACsAMAA0ADoAMAAwAAAAAAAAAAAAAAAAAAAAAAAAAAAAAAAAAAAAAAAAAAAAAAAAAAAAAAAAAAAAAAAAAAAAAAAAAAAAAAAAAAAAAAAAAAAAAAAAAAAAAAAAAAAAAADpBwwAAgAJABEAAAAQAAAA8AAAAA=="/>
  <ax:ocxPr ax:name="SigTimeFormatPack" ax:value="SABIADoAbQBtAAAAdAAAAAAAAAAAAAAAAAAAAAAAAAAAAAAAAAAAAAAAAAAAAAAAAAAAAAAAAAAAAAAAAAAAAGQAZAAvAE0ATQAvAHkAeQB5AHkAAAAAAAAAAAAAAAAAAAAAAAAAAAAAAAAAAAAAAAAAAAAAAAAAAAAAAAAAAAAB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1MTIwOTEzMDAxNlowIwYJKoZIhvcNAQkEMRYEFIh8hj8O8S8UASawQaxMWciZEAYvMCsGCyqGSIb3DQEJEAIMMRwwGjAYMBYEFKXkr75aAmzDqFqYeGQWxGan4+KlMA0GCSqGSIb3DQEBAQUABIIBAFCsDnSC54pKnEZmuIEMH3XLmsw54+oV4Xi2vCnoxO0jchI32UQ82xYExQYLONkAkbWNzpHtpg82zyI3aKJ0Qy2f15IutnLO++z2DBCEeA0tw+PRFKm4M9Sr5RH89BRlowXKTkJen39L2pgWQLkMyjYb1oJLNJiuSdEvp+0rS021r8bzQkWuIAi5wW4h8qsGIF7E8ROPuAdWuCoPq9U1jbJWAgLLhLb9fJMPsz8IqTDpiJuq/QfzaotwbOq2Zn15J+EC/BIEw2wnbZThPElmG+jxYmLTEHWTXUJN2w13nh9Ch9/g8htlRE6wwJuY8cZBRm8EpDg7ftBUjTHKtq0qiww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Կարեն Երանոսյան</dc:creator>
  <cp:keywords>https:/mul2.armsai.am/tasks/22618/oneclick?token=9cfc64b4c72111174256a7d5754c98b8</cp:keywords>
  <dc:description/>
  <cp:lastModifiedBy>Gayane Matevosyan</cp:lastModifiedBy>
  <cp:revision>5</cp:revision>
  <dcterms:created xsi:type="dcterms:W3CDTF">2025-12-09T13:25:00Z</dcterms:created>
  <dcterms:modified xsi:type="dcterms:W3CDTF">2025-12-09T13:34:00Z</dcterms:modified>
</cp:coreProperties>
</file>