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5B8D" w14:textId="77777777" w:rsidR="00A3222D" w:rsidRPr="00550EB2" w:rsidRDefault="0016611F" w:rsidP="00550EB2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14:ligatures w14:val="none"/>
        </w:rPr>
      </w:pPr>
      <w:r w:rsidRPr="00550EB2">
        <w:rPr>
          <w:rFonts w:ascii="GHEA Grapalat" w:eastAsia="Times New Roman" w:hAnsi="GHEA Grapalat" w:cs="Times New Roman"/>
          <w:noProof/>
          <w:color w:val="000000" w:themeColor="text1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B40855" wp14:editId="27B071E8">
                <wp:simplePos x="0" y="0"/>
                <wp:positionH relativeFrom="column">
                  <wp:posOffset>2788285</wp:posOffset>
                </wp:positionH>
                <wp:positionV relativeFrom="paragraph">
                  <wp:posOffset>47625</wp:posOffset>
                </wp:positionV>
                <wp:extent cx="1102360" cy="1076325"/>
                <wp:effectExtent l="0" t="0" r="2540" b="9525"/>
                <wp:wrapSquare wrapText="bothSides"/>
                <wp:docPr id="1" name="Picture 1" descr="c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oa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0236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19.55pt;mso-position-horizontal:absolute;mso-position-vertical-relative:text;margin-top:3.75pt;mso-position-vertical:absolute;width:86.80pt;height:84.75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</w:p>
    <w:p w14:paraId="1B0CEDAB" w14:textId="77777777" w:rsidR="00A3222D" w:rsidRPr="00550EB2" w:rsidRDefault="0016611F" w:rsidP="00550EB2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14:ligatures w14:val="none"/>
        </w:rPr>
        <w:br w:type="textWrapping" w:clear="all"/>
      </w:r>
    </w:p>
    <w:p w14:paraId="5A066A7F" w14:textId="77777777" w:rsidR="00A3222D" w:rsidRPr="00717689" w:rsidRDefault="00A3222D" w:rsidP="00717689">
      <w:pPr>
        <w:spacing w:after="0" w:line="259" w:lineRule="auto"/>
        <w:ind w:left="-426"/>
        <w:jc w:val="center"/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</w:pPr>
    </w:p>
    <w:p w14:paraId="43307EE0" w14:textId="77777777" w:rsidR="00A3222D" w:rsidRPr="00717689" w:rsidRDefault="0016611F" w:rsidP="00717689">
      <w:pPr>
        <w:spacing w:after="0" w:line="259" w:lineRule="auto"/>
        <w:ind w:left="-426"/>
        <w:jc w:val="center"/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</w:pPr>
      <w:r w:rsidRPr="00717689"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  <w:t xml:space="preserve">ՀԱՅԱՍՏԱՆԻ ՀԱՆՐԱՊԵՏՈՒԹՅԱՆ </w:t>
      </w:r>
    </w:p>
    <w:p w14:paraId="36803111" w14:textId="77777777" w:rsidR="00A3222D" w:rsidRPr="00717689" w:rsidRDefault="0016611F" w:rsidP="00717689">
      <w:pPr>
        <w:spacing w:after="0" w:line="259" w:lineRule="auto"/>
        <w:ind w:left="-426"/>
        <w:jc w:val="center"/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</w:pPr>
      <w:r w:rsidRPr="00717689"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  <w:t>ՀԱՇՎԵՔՆՆԻՉ ՊԱԼԱՏ</w:t>
      </w:r>
    </w:p>
    <w:p w14:paraId="6EE71CE9" w14:textId="77777777" w:rsidR="00A3222D" w:rsidRPr="00717689" w:rsidRDefault="00A3222D" w:rsidP="00717689">
      <w:pPr>
        <w:spacing w:after="0" w:line="259" w:lineRule="auto"/>
        <w:ind w:left="-426"/>
        <w:jc w:val="center"/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</w:pPr>
    </w:p>
    <w:p w14:paraId="334CF847" w14:textId="77777777" w:rsidR="00A3222D" w:rsidRPr="00717689" w:rsidRDefault="0016611F" w:rsidP="00717689">
      <w:pPr>
        <w:spacing w:after="0" w:line="259" w:lineRule="auto"/>
        <w:ind w:left="-426"/>
        <w:jc w:val="center"/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</w:pPr>
      <w:r w:rsidRPr="00717689"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  <w:t>Ո Ր Ո Շ ՈՒ Մ</w:t>
      </w:r>
    </w:p>
    <w:p w14:paraId="2ADD8958" w14:textId="77777777" w:rsidR="00A3222D" w:rsidRPr="00717689" w:rsidRDefault="00A3222D" w:rsidP="00717689">
      <w:pPr>
        <w:spacing w:after="0" w:line="259" w:lineRule="auto"/>
        <w:ind w:left="-426"/>
        <w:jc w:val="center"/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</w:pPr>
    </w:p>
    <w:p w14:paraId="0FEACEBC" w14:textId="5BD580C5" w:rsidR="00A3222D" w:rsidRPr="00717689" w:rsidRDefault="0016611F" w:rsidP="00717689">
      <w:pPr>
        <w:spacing w:after="0" w:line="259" w:lineRule="auto"/>
        <w:ind w:left="-426"/>
        <w:jc w:val="center"/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</w:pPr>
      <w:r w:rsidRPr="00717689"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  <w:t xml:space="preserve">2025 թվականի   </w:t>
      </w:r>
      <w:r w:rsidR="00717689"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en-GB"/>
          <w14:ligatures w14:val="none"/>
        </w:rPr>
        <w:t>օգոստեսի 26</w:t>
      </w:r>
      <w:r w:rsidRPr="00717689"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  <w:t xml:space="preserve">-ի  N </w:t>
      </w:r>
      <w:r w:rsidR="00717689"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en-GB"/>
          <w14:ligatures w14:val="none"/>
        </w:rPr>
        <w:t>60</w:t>
      </w:r>
      <w:r w:rsidRPr="00717689"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  <w:t>-Լ</w:t>
      </w:r>
    </w:p>
    <w:p w14:paraId="3E09CD00" w14:textId="77777777" w:rsidR="00A3222D" w:rsidRPr="00717689" w:rsidRDefault="00A3222D" w:rsidP="00717689">
      <w:pPr>
        <w:spacing w:after="0" w:line="259" w:lineRule="auto"/>
        <w:ind w:left="-426"/>
        <w:jc w:val="center"/>
        <w:rPr>
          <w:rFonts w:ascii="GHEA Grapalat" w:eastAsia="Times New Roman" w:hAnsi="GHEA Grapalat" w:cs="Helvetica"/>
          <w:bCs/>
          <w:color w:val="1F3864" w:themeColor="accent1" w:themeShade="80"/>
          <w:sz w:val="28"/>
          <w:szCs w:val="28"/>
          <w:lang w:val="hy-AM"/>
          <w14:ligatures w14:val="none"/>
        </w:rPr>
      </w:pPr>
    </w:p>
    <w:p w14:paraId="190A5683" w14:textId="77777777" w:rsidR="00A3222D" w:rsidRPr="00550EB2" w:rsidRDefault="00A3222D" w:rsidP="00550EB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/>
          <w14:ligatures w14:val="none"/>
        </w:rPr>
      </w:pPr>
    </w:p>
    <w:p w14:paraId="3CA5AD71" w14:textId="2D4CA418" w:rsidR="00A3222D" w:rsidRPr="00550EB2" w:rsidRDefault="0016611F" w:rsidP="00550EB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/>
          <w:bCs/>
          <w:color w:val="000000" w:themeColor="text1"/>
          <w:lang w:val="hy-AM"/>
          <w14:ligatures w14:val="none"/>
        </w:rPr>
        <w:t xml:space="preserve">ՀԱՇՎԵՔՆՆԻՉ ՊԱԼԱՏԻ 2018 ԹՎԱԿԱՆԻ ՄԱՅԻՍԻ 10-Ի </w:t>
      </w:r>
      <w:r w:rsidR="00135637" w:rsidRPr="00550EB2">
        <w:rPr>
          <w:rFonts w:ascii="GHEA Grapalat" w:eastAsia="Times New Roman" w:hAnsi="GHEA Grapalat" w:cs="Times New Roman"/>
          <w:b/>
          <w:bCs/>
          <w:color w:val="000000" w:themeColor="text1"/>
          <w:lang w:val="hy-AM"/>
          <w14:ligatures w14:val="none"/>
        </w:rPr>
        <w:t>ԹԻՎ 2/1 ՈՐՈՇՄԱՆ ՄԵՋ ՓՈՓՈԽՈՒԹՅՈՒՆԵՐ ԵՎ ԼՐԱՑՈՒՄՆԵՐ ԿԱՏԱՐԵԼՈՒ ՄԱՍԻՆ</w:t>
      </w:r>
    </w:p>
    <w:p w14:paraId="3AFB9753" w14:textId="77777777" w:rsidR="00A3222D" w:rsidRPr="00550EB2" w:rsidRDefault="00A3222D" w:rsidP="00550EB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/>
          <w14:ligatures w14:val="none"/>
        </w:rPr>
      </w:pPr>
    </w:p>
    <w:p w14:paraId="60E92BBC" w14:textId="77777777" w:rsidR="00A3222D" w:rsidRPr="00550EB2" w:rsidRDefault="00A3222D" w:rsidP="00550EB2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</w:p>
    <w:p w14:paraId="6C3FAA4E" w14:textId="6EFC9315" w:rsidR="00A3222D" w:rsidRPr="00550EB2" w:rsidRDefault="0016611F" w:rsidP="00550EB2">
      <w:pPr>
        <w:spacing w:after="0" w:line="360" w:lineRule="auto"/>
        <w:ind w:left="180" w:firstLine="540"/>
        <w:jc w:val="both"/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  <w:t>Ղեկավարվելով Հաշվեքննիչ պալատի մասին օրենքի</w:t>
      </w:r>
      <w:r w:rsidRPr="00550EB2">
        <w:rPr>
          <w:rFonts w:ascii="GHEA Grapalat" w:eastAsia="Times New Roman" w:hAnsi="GHEA Grapalat" w:cs="Times New Roman"/>
          <w:color w:val="000000" w:themeColor="text1"/>
          <w:lang w:val="hy-AM"/>
          <w14:ligatures w14:val="none"/>
        </w:rPr>
        <w:t xml:space="preserve"> 10-րդ հոդվածի 1-ին մասի 12-րդ կետով, 16-րդ, 17-րդ և 18-րդ հոդվածների 6-րդ մասերով,</w:t>
      </w:r>
      <w:r w:rsidR="0075119E" w:rsidRPr="00550EB2">
        <w:rPr>
          <w:rFonts w:ascii="GHEA Grapalat" w:eastAsia="Times New Roman" w:hAnsi="GHEA Grapalat" w:cs="Times New Roman"/>
          <w:color w:val="000000" w:themeColor="text1"/>
          <w:lang w:val="hy-AM"/>
          <w14:ligatures w14:val="none"/>
        </w:rPr>
        <w:t xml:space="preserve"> </w:t>
      </w:r>
      <w:r w:rsidRPr="00550EB2">
        <w:rPr>
          <w:rFonts w:ascii="GHEA Grapalat" w:eastAsia="Times New Roman" w:hAnsi="GHEA Grapalat" w:cs="Times New Roman"/>
          <w:color w:val="000000" w:themeColor="text1"/>
          <w:lang w:val="hy-AM"/>
          <w14:ligatures w14:val="none"/>
        </w:rPr>
        <w:t xml:space="preserve">19-րդ </w:t>
      </w:r>
      <w:r w:rsidR="0075119E" w:rsidRPr="00550EB2">
        <w:rPr>
          <w:rFonts w:ascii="GHEA Grapalat" w:eastAsia="Times New Roman" w:hAnsi="GHEA Grapalat" w:cs="Times New Roman"/>
          <w:color w:val="000000" w:themeColor="text1"/>
          <w:lang w:val="hy-AM"/>
          <w14:ligatures w14:val="none"/>
        </w:rPr>
        <w:t>հոդվածի 4</w:t>
      </w:r>
      <w:r w:rsidRPr="00550EB2">
        <w:rPr>
          <w:rFonts w:ascii="GHEA Grapalat" w:eastAsia="Times New Roman" w:hAnsi="GHEA Grapalat" w:cs="Times New Roman"/>
          <w:color w:val="000000" w:themeColor="text1"/>
          <w:lang w:val="hy-AM"/>
          <w14:ligatures w14:val="none"/>
        </w:rPr>
        <w:t xml:space="preserve">-րդ մասով, 20-րդ հոդվածով և </w:t>
      </w:r>
      <w:r w:rsidRPr="00550EB2"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  <w:t>Նորմատիվ իրավական ակտերի մասին օրենքի</w:t>
      </w:r>
      <w:r w:rsidRPr="00550EB2">
        <w:rPr>
          <w:rFonts w:ascii="GHEA Grapalat" w:eastAsia="Times New Roman" w:hAnsi="GHEA Grapalat" w:cs="Times New Roman"/>
          <w:color w:val="000000" w:themeColor="text1"/>
          <w:lang w:val="hy-AM"/>
          <w14:ligatures w14:val="none"/>
        </w:rPr>
        <w:t xml:space="preserve"> 33-րդ և 34-րդ հոդվածներով` </w:t>
      </w:r>
      <w:r w:rsidRPr="00550EB2"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  <w:t>Հաշվեքննիչ պալատը</w:t>
      </w:r>
    </w:p>
    <w:p w14:paraId="61755876" w14:textId="77777777" w:rsidR="00A3222D" w:rsidRPr="00550EB2" w:rsidRDefault="00A3222D" w:rsidP="00550EB2">
      <w:pPr>
        <w:spacing w:after="0" w:line="360" w:lineRule="auto"/>
        <w:ind w:left="180" w:firstLine="54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lang w:val="hy-AM"/>
          <w14:ligatures w14:val="none"/>
        </w:rPr>
      </w:pPr>
    </w:p>
    <w:p w14:paraId="6DCF96E2" w14:textId="77777777" w:rsidR="00A3222D" w:rsidRPr="00550EB2" w:rsidRDefault="0016611F" w:rsidP="00550EB2">
      <w:pPr>
        <w:spacing w:after="0" w:line="360" w:lineRule="auto"/>
        <w:ind w:left="180" w:firstLine="540"/>
        <w:rPr>
          <w:rFonts w:ascii="GHEA Grapalat" w:eastAsia="Times New Roman" w:hAnsi="GHEA Grapalat" w:cs="Times New Roman"/>
          <w:b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/>
          <w:bCs/>
          <w:color w:val="000000" w:themeColor="text1"/>
          <w:lang w:val="hy-AM"/>
          <w14:ligatures w14:val="none"/>
        </w:rPr>
        <w:t xml:space="preserve">                                                  Ո Ր Ո Շ ՈՒ Մ  Է`</w:t>
      </w:r>
    </w:p>
    <w:p w14:paraId="4FDC4B25" w14:textId="77777777" w:rsidR="00A3222D" w:rsidRPr="00550EB2" w:rsidRDefault="00A3222D" w:rsidP="00550EB2">
      <w:pPr>
        <w:spacing w:after="0" w:line="360" w:lineRule="auto"/>
        <w:ind w:left="180" w:firstLine="54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lang w:val="hy-AM"/>
          <w14:ligatures w14:val="none"/>
        </w:rPr>
      </w:pPr>
    </w:p>
    <w:p w14:paraId="513BABC6" w14:textId="4BFF00B5" w:rsidR="00A3222D" w:rsidRPr="00550EB2" w:rsidRDefault="0016611F" w:rsidP="00550EB2">
      <w:pPr>
        <w:numPr>
          <w:ilvl w:val="0"/>
          <w:numId w:val="1"/>
        </w:numPr>
        <w:tabs>
          <w:tab w:val="left" w:pos="990"/>
        </w:tabs>
        <w:spacing w:after="0" w:line="360" w:lineRule="auto"/>
        <w:ind w:left="180" w:firstLine="54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Հաշվեքննիչ պալատի 2018 թվականի մայիսի 10-ի Հաշվեքննիչ պալատի կանոնադրությունը հաստատելու մասին թիվ 2/1 որոշման (այսուհետ՝ </w:t>
      </w:r>
      <w:r w:rsidR="00486C89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Որոշում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) մեջ կատարել հետևյալ փոփոխությունները և լրացումները.</w:t>
      </w:r>
    </w:p>
    <w:p w14:paraId="78523AFD" w14:textId="41B696AF" w:rsidR="002B0B34" w:rsidRPr="00550EB2" w:rsidRDefault="002B0B34" w:rsidP="00550EB2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Որոշման նախաբանը շարադրել հետ</w:t>
      </w:r>
      <w:r w:rsidR="00486C89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ևյ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ալ նոր խմբագրությամբ՝</w:t>
      </w:r>
    </w:p>
    <w:p w14:paraId="1C1FAF8D" w14:textId="4B924202" w:rsidR="002B0B34" w:rsidRPr="00550EB2" w:rsidRDefault="002B0B34" w:rsidP="00550EB2">
      <w:pPr>
        <w:spacing w:after="0" w:line="360" w:lineRule="auto"/>
        <w:ind w:left="180" w:firstLine="540"/>
        <w:jc w:val="both"/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«</w:t>
      </w:r>
      <w:r w:rsidRPr="00550EB2"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  <w:t>Ղեկավարվելով Հաշվեքննիչ պալատի մասին օրենքի</w:t>
      </w:r>
      <w:r w:rsidRPr="00550EB2">
        <w:rPr>
          <w:rFonts w:ascii="GHEA Grapalat" w:eastAsia="Times New Roman" w:hAnsi="GHEA Grapalat" w:cs="Times New Roman"/>
          <w:color w:val="000000" w:themeColor="text1"/>
          <w:lang w:val="hy-AM"/>
          <w14:ligatures w14:val="none"/>
        </w:rPr>
        <w:t xml:space="preserve"> 10-րդ հոդվածի 1-ին մասի 12-րդ կետով և 20-րդ հոդվածով՝</w:t>
      </w:r>
      <w:r w:rsidRPr="00550EB2"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  <w:t xml:space="preserve"> Հաշվեքննիչ պալատը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</w:t>
      </w:r>
      <w:r w:rsidR="00486C89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.</w:t>
      </w:r>
    </w:p>
    <w:p w14:paraId="689FBAA1" w14:textId="4D129F62" w:rsidR="007C177C" w:rsidRPr="0023185B" w:rsidRDefault="0016611F" w:rsidP="00550EB2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23185B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lastRenderedPageBreak/>
        <w:t xml:space="preserve"> </w:t>
      </w:r>
      <w:r w:rsidR="007C177C" w:rsidRPr="0023185B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Որոշման հավելվածի (այսուհետ՝ Հավելված) 15-րդ կետում «</w:t>
      </w:r>
      <w:r w:rsidR="0085729B"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Հաշվեքննիչ պալատի </w:t>
      </w:r>
      <w:r w:rsidR="007C177C" w:rsidRPr="0023185B">
        <w:rPr>
          <w:rFonts w:ascii="GHEA Grapalat" w:hAnsi="GHEA Grapalat"/>
          <w:color w:val="000000" w:themeColor="text1"/>
          <w:lang w:val="af-ZA"/>
        </w:rPr>
        <w:t>գլխավոր քարտուղարի տեղակալը,</w:t>
      </w:r>
      <w:r w:rsidR="007C177C" w:rsidRPr="0023185B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 բառերը հանել</w:t>
      </w:r>
      <w:r w:rsidR="00A61A51" w:rsidRPr="0023185B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, իսկ «</w:t>
      </w:r>
      <w:r w:rsidR="00A61A51" w:rsidRPr="0023185B">
        <w:rPr>
          <w:rFonts w:ascii="GHEA Grapalat" w:hAnsi="GHEA Grapalat"/>
          <w:color w:val="000000" w:themeColor="text1"/>
          <w:lang w:val="af-ZA"/>
        </w:rPr>
        <w:t>կառուցվածքային</w:t>
      </w:r>
      <w:r w:rsidR="00A61A51" w:rsidRPr="0023185B">
        <w:rPr>
          <w:rFonts w:ascii="GHEA Grapalat" w:hAnsi="GHEA Grapalat"/>
          <w:color w:val="000000" w:themeColor="text1"/>
          <w:lang w:val="hy-AM"/>
        </w:rPr>
        <w:t>» բառից առաջ լրացնել «հիմնական» բառը</w:t>
      </w:r>
      <w:r w:rsidR="007C177C" w:rsidRPr="0023185B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.</w:t>
      </w:r>
    </w:p>
    <w:p w14:paraId="2C5852D6" w14:textId="21157731" w:rsidR="00A61A51" w:rsidRPr="0023185B" w:rsidRDefault="00A61A51" w:rsidP="00550EB2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23185B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Հավելվածը լրացնել նոր 15.1-ին կետով հետևյալ բովանդակությամբ.</w:t>
      </w:r>
    </w:p>
    <w:p w14:paraId="4F8A48C0" w14:textId="646A6D14" w:rsidR="00A61A51" w:rsidRPr="0023185B" w:rsidRDefault="00A61A51" w:rsidP="00550EB2">
      <w:pPr>
        <w:pStyle w:val="ListParagraph"/>
        <w:tabs>
          <w:tab w:val="left" w:pos="990"/>
        </w:tabs>
        <w:spacing w:after="0" w:line="360" w:lineRule="auto"/>
        <w:ind w:left="18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23185B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«15.1. </w:t>
      </w:r>
      <w:bookmarkStart w:id="0" w:name="_Hlk206679068"/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Հաշվեքննիչ պալատի նախագահին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հաշվետու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են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աջակցող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մասնագիտական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կառուցվածքային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ստորաբաժանումների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ղեկավարները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գլխավոր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քարտուղարի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23185B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տեղակալը</w:t>
      </w:r>
      <w:r w:rsidRPr="0023185B">
        <w:rPr>
          <w:rFonts w:ascii="GHEA Grapalat" w:hAnsi="GHEA Grapalat"/>
          <w:color w:val="000000" w:themeColor="text1"/>
          <w:shd w:val="clear" w:color="auto" w:fill="FFFFFF"/>
          <w:lang w:val="hy-AM"/>
        </w:rPr>
        <w:t>:</w:t>
      </w:r>
      <w:r w:rsidRPr="0023185B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</w:t>
      </w:r>
      <w:bookmarkEnd w:id="0"/>
    </w:p>
    <w:p w14:paraId="7939A2E4" w14:textId="7152E1C1" w:rsidR="00A3222D" w:rsidRPr="00550EB2" w:rsidRDefault="007C177C" w:rsidP="00550EB2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Հավելվածի </w:t>
      </w:r>
      <w:r w:rsidR="00742B5B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1</w:t>
      </w:r>
      <w:r w:rsidR="0016611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6-րդ կետում «</w:t>
      </w:r>
      <w:r w:rsidR="0016611F" w:rsidRPr="00550EB2">
        <w:rPr>
          <w:rFonts w:ascii="GHEA Grapalat" w:hAnsi="GHEA Grapalat"/>
          <w:color w:val="000000" w:themeColor="text1"/>
          <w:lang w:val="hy-AM" w:eastAsia="en-GB"/>
        </w:rPr>
        <w:t>կոմիտեներ</w:t>
      </w:r>
      <w:r w:rsidR="0016611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» բառից հետո լրացնել «, </w:t>
      </w:r>
      <w:r w:rsidR="00EE15E1" w:rsidRPr="00550EB2">
        <w:rPr>
          <w:rFonts w:ascii="GHEA Grapalat" w:hAnsi="GHEA Grapalat" w:cs="Courier New"/>
          <w:color w:val="000000" w:themeColor="text1"/>
          <w:shd w:val="clear" w:color="auto" w:fill="FFFFFF"/>
          <w:lang w:val="hy-AM"/>
        </w:rPr>
        <w:t xml:space="preserve">որոնք կարծիք են ներկայացնում Հաշվեքննիչ պալատի նիստում քննարկման ներկայացվող իրենց ոլորտներին վերաբերող և </w:t>
      </w:r>
      <w:r w:rsidR="00EE15E1" w:rsidRPr="00550EB2"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  <w:t xml:space="preserve">Հաշվեքննիչ պալատի </w:t>
      </w:r>
      <w:r w:rsidR="00EE15E1" w:rsidRPr="00550EB2">
        <w:rPr>
          <w:rFonts w:ascii="GHEA Grapalat" w:hAnsi="GHEA Grapalat" w:cs="Courier New"/>
          <w:color w:val="000000" w:themeColor="text1"/>
          <w:shd w:val="clear" w:color="auto" w:fill="FFFFFF"/>
          <w:lang w:val="hy-AM"/>
        </w:rPr>
        <w:t>նախագահի կողմից կոմիտեներին կարծիքի ներկայացված որոշումների նախագծերի վերաբերյալ</w:t>
      </w:r>
      <w:r w:rsidR="006606D2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, բացառությամբ այն նախագծերի, որոնց վերաբերյալ պետք է ներկայացնեն օրենքով սահմանված մասնագիտական եզրակացություն:</w:t>
      </w:r>
      <w:r w:rsidR="00FF26A7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Ընդ որում</w:t>
      </w:r>
      <w:r w:rsidR="00B67C03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,</w:t>
      </w:r>
      <w:r w:rsidR="00FF26A7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կածիքը պետք է պարունակի տեղեկատվութ</w:t>
      </w:r>
      <w:r w:rsidR="001872F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յ</w:t>
      </w:r>
      <w:r w:rsidR="00FF26A7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ո</w:t>
      </w:r>
      <w:r w:rsidR="001872F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ւ</w:t>
      </w:r>
      <w:r w:rsidR="00FF26A7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ն այն մասին, թե ինչ </w:t>
      </w:r>
      <w:r w:rsidR="001872F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ստանդարտներ, մեթ</w:t>
      </w:r>
      <w:r w:rsidR="00472BE1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ո</w:t>
      </w:r>
      <w:r w:rsidR="001872F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դաբանություններ և ուղեցույցներ են կի</w:t>
      </w:r>
      <w:r w:rsidR="00472BE1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րա</w:t>
      </w:r>
      <w:r w:rsidR="001872F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ռվել տվյալ կարծիքի ձևավորման գործընթացում:</w:t>
      </w:r>
      <w:r w:rsidR="006606D2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</w:t>
      </w:r>
      <w:r w:rsidR="0016611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բառերը.</w:t>
      </w:r>
    </w:p>
    <w:p w14:paraId="332B0E79" w14:textId="77777777" w:rsidR="00A3222D" w:rsidRPr="00550EB2" w:rsidRDefault="0016611F" w:rsidP="00550EB2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26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Հավելվածի 30-րդ կետի 4-րդ ենթակետն ուժը կորցրած ճանացել.</w:t>
      </w:r>
    </w:p>
    <w:p w14:paraId="15D7055C" w14:textId="77777777" w:rsidR="00A3222D" w:rsidRPr="00550EB2" w:rsidRDefault="0016611F" w:rsidP="00550EB2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44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Հավելվածի ողջ տեքստում «աշխատանքային քննարկում» և «աշխատանքային քննարկումներ» բառերը և դրանց հոլովաձևերը համապատասխանաբար փոխարինել «նիստ» և «նիստեր» բառերով և դրանց հոլովաձևերով.</w:t>
      </w:r>
    </w:p>
    <w:p w14:paraId="74F5663F" w14:textId="77777777" w:rsidR="00A3222D" w:rsidRPr="00550EB2" w:rsidRDefault="0016611F" w:rsidP="00550EB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Հավելվածի 31-րդ, 44-րդ, 51-րդ և 58-րդ կետերում լրացնել նոր նախադասություն հետևյալ բովանդակությամբ՝</w:t>
      </w:r>
    </w:p>
    <w:p w14:paraId="05607833" w14:textId="77777777" w:rsidR="00A3222D" w:rsidRPr="00550EB2" w:rsidRDefault="0016611F" w:rsidP="00550EB2">
      <w:pPr>
        <w:widowControl w:val="0"/>
        <w:tabs>
          <w:tab w:val="left" w:pos="884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«</w:t>
      </w:r>
      <w:r w:rsidRPr="00550EB2">
        <w:rPr>
          <w:rFonts w:ascii="GHEA Grapalat" w:hAnsi="GHEA Grapalat" w:cs="Arial"/>
          <w:color w:val="000000" w:themeColor="text1"/>
          <w:lang w:val="hy-AM" w:eastAsia="hy-AM"/>
        </w:rPr>
        <w:t>Նիստը, ըստ անհրաժեշտության, կարող է անցկացվել հեռավար առցանց կամ գրավոր ընթացակարգով։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».</w:t>
      </w:r>
    </w:p>
    <w:p w14:paraId="60EFF300" w14:textId="77777777" w:rsidR="00A3222D" w:rsidRPr="00550EB2" w:rsidRDefault="0016611F" w:rsidP="00550EB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Հավելվածում լրացնել նոր 31.1-ին կետ հետևյալ բովանդակությամբ՝</w:t>
      </w:r>
    </w:p>
    <w:p w14:paraId="704A22DC" w14:textId="4DA0C954" w:rsidR="00A3222D" w:rsidRPr="00550EB2" w:rsidRDefault="0016611F" w:rsidP="00550EB2">
      <w:pPr>
        <w:pStyle w:val="ListParagraph"/>
        <w:tabs>
          <w:tab w:val="left" w:pos="990"/>
          <w:tab w:val="left" w:pos="144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«31.1.</w:t>
      </w:r>
      <w:r w:rsidR="00AE2BCB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Դիմում կարող են ներկայացնել Հաշվեքննիչ պալատի կառուցվածքային ստորաբաժանումների ղեկավարները՝ կոմիտեի իրավասությունների շրջանակում գտնվող հարցերի քննարկման նպատակով:».</w:t>
      </w:r>
    </w:p>
    <w:p w14:paraId="67284649" w14:textId="0C9BA443" w:rsidR="00A3222D" w:rsidRPr="00550EB2" w:rsidRDefault="0016611F" w:rsidP="00550EB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Հավելվածում լրացնել նոր՝ 36.1-ին, 36.2-րդ</w:t>
      </w:r>
      <w:r w:rsidR="00831A6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,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36.3-րդ</w:t>
      </w:r>
      <w:r w:rsidR="00831A6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և 36.4-րդ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կետեր հետևյալ բովանդակությամբ՝</w:t>
      </w:r>
    </w:p>
    <w:p w14:paraId="0F1D3BCF" w14:textId="77777777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«36.1.</w:t>
      </w: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Կոմիտեի քվորումն ապահովվում է անդամների մեծամասնության մասնակցությամբ:</w:t>
      </w:r>
    </w:p>
    <w:p w14:paraId="6F8C2D24" w14:textId="77777777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36.2.Քվեարկության ժամանակ Կոմիտեի յուրաքանչյուր անդամ ունի մեկ ձայնի իրավունք:</w:t>
      </w:r>
    </w:p>
    <w:p w14:paraId="60ED60ED" w14:textId="0E292D6A" w:rsidR="00F66989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36.3.Կոմիտեի կարծիքը համարվում է ընդունված կոմիտեի առնվազն 2 անդամի կողմ քվեարկելու դեպքում: </w:t>
      </w:r>
    </w:p>
    <w:p w14:paraId="51519ECC" w14:textId="54FE787A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lang w:val="hy-AM" w:eastAsia="en-GB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36.4. Կոմիտեն կարծիքը ներկայացնում է նախքան </w:t>
      </w:r>
      <w:r w:rsidRPr="00550EB2">
        <w:rPr>
          <w:rFonts w:ascii="GHEA Grapalat" w:hAnsi="GHEA Grapalat"/>
          <w:color w:val="000000" w:themeColor="text1"/>
          <w:lang w:val="hy-AM" w:eastAsia="en-GB"/>
        </w:rPr>
        <w:t>Հաշվեքննիչ պալատի համապատասխան նիստի գումարումը: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» </w:t>
      </w:r>
      <w:r w:rsidR="00037E5B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:</w:t>
      </w:r>
    </w:p>
    <w:p w14:paraId="404D3E49" w14:textId="5CBFEBE9" w:rsidR="0050180B" w:rsidRPr="00550EB2" w:rsidRDefault="0050180B" w:rsidP="00550EB2">
      <w:pPr>
        <w:pStyle w:val="ListParagraph"/>
        <w:numPr>
          <w:ilvl w:val="0"/>
          <w:numId w:val="2"/>
        </w:numPr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bookmarkStart w:id="1" w:name="_Hlk201225539"/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Հավելվածի 38-րդ</w:t>
      </w:r>
      <w:r w:rsidR="00A1136B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</w:t>
      </w:r>
      <w:r w:rsidR="0098249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կետը շարադրել հետևյալ խմբագրությամբ.                                          «38. </w:t>
      </w:r>
      <w:r w:rsidR="0098249F" w:rsidRPr="00550EB2">
        <w:rPr>
          <w:rFonts w:ascii="GHEA Grapalat" w:eastAsia="Times New Roman" w:hAnsi="GHEA Grapalat" w:cs="Times New Roman"/>
          <w:color w:val="000000" w:themeColor="text1"/>
          <w:lang w:val="hy-AM" w:eastAsia="en-GB"/>
          <w14:ligatures w14:val="none"/>
        </w:rPr>
        <w:t>Գործադիր կոմիտեի նիստն արձանագրվում է»:</w:t>
      </w:r>
    </w:p>
    <w:p w14:paraId="6BFE01A2" w14:textId="63E22524" w:rsidR="00A3222D" w:rsidRPr="00550EB2" w:rsidRDefault="0016611F" w:rsidP="00550EB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Հավելվածի 39-րդ, 46-րդ, 53-րդ և 60-րդ կետերում կետում լրացնել նոր նախադասություն</w:t>
      </w:r>
      <w:r w:rsidR="002A4869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ներ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հետևյալ բովանդակությամբ՝</w:t>
      </w:r>
    </w:p>
    <w:p w14:paraId="0A918A6F" w14:textId="6D1223F4" w:rsidR="00A3222D" w:rsidRPr="00550EB2" w:rsidRDefault="0016611F" w:rsidP="00550EB2">
      <w:pPr>
        <w:widowControl w:val="0"/>
        <w:tabs>
          <w:tab w:val="left" w:pos="884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«</w:t>
      </w:r>
      <w:bookmarkStart w:id="2" w:name="_Hlk205910664"/>
      <w:r w:rsidRPr="00550EB2">
        <w:rPr>
          <w:rFonts w:ascii="GHEA Grapalat" w:hAnsi="GHEA Grapalat" w:cs="Arial"/>
          <w:color w:val="000000" w:themeColor="text1"/>
          <w:lang w:val="hy-AM" w:eastAsia="hy-AM"/>
        </w:rPr>
        <w:t xml:space="preserve">Արձանագրությունն ուղարկվում </w:t>
      </w:r>
      <w:r w:rsidR="00C2502C" w:rsidRPr="00550EB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է կոմիտեի անդամներին, իսկ անհրաժեշտության դեպքում՝ նաև այլ պաշտոնատար անձանց</w:t>
      </w:r>
      <w:r w:rsidR="00C2502C" w:rsidRPr="00550EB2">
        <w:rPr>
          <w:rFonts w:ascii="GHEA Grapalat" w:hAnsi="GHEA Grapalat" w:cs="Arial"/>
          <w:color w:val="000000" w:themeColor="text1"/>
          <w:lang w:val="hy-AM" w:eastAsia="hy-AM"/>
        </w:rPr>
        <w:t xml:space="preserve">՝ </w:t>
      </w:r>
      <w:r w:rsidRPr="00550EB2">
        <w:rPr>
          <w:rFonts w:ascii="GHEA Grapalat" w:hAnsi="GHEA Grapalat" w:cs="Arial"/>
          <w:color w:val="000000" w:themeColor="text1"/>
          <w:lang w:val="hy-AM" w:eastAsia="hy-AM"/>
        </w:rPr>
        <w:t>տեղեկացման միջոցով</w:t>
      </w:r>
      <w:bookmarkEnd w:id="2"/>
      <w:r w:rsidRPr="00550EB2">
        <w:rPr>
          <w:rFonts w:ascii="GHEA Grapalat" w:hAnsi="GHEA Grapalat" w:cs="Arial"/>
          <w:color w:val="000000" w:themeColor="text1"/>
          <w:lang w:val="hy-AM" w:eastAsia="hy-AM"/>
        </w:rPr>
        <w:t>։</w:t>
      </w:r>
      <w:r w:rsidR="001D6920" w:rsidRPr="00550EB2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bookmarkStart w:id="3" w:name="_Hlk207810948"/>
      <w:r w:rsidR="001D6920" w:rsidRPr="00550EB2">
        <w:rPr>
          <w:rFonts w:ascii="GHEA Grapalat" w:hAnsi="GHEA Grapalat" w:cs="Arial"/>
          <w:color w:val="000000" w:themeColor="text1"/>
          <w:lang w:val="hy-AM" w:eastAsia="hy-AM"/>
        </w:rPr>
        <w:t xml:space="preserve">Արձանագրությունը տեղադրվում է </w:t>
      </w:r>
      <w:r w:rsidR="002A4869" w:rsidRPr="00550EB2">
        <w:rPr>
          <w:rFonts w:ascii="GHEA Grapalat" w:hAnsi="GHEA Grapalat" w:cs="Sylfaen"/>
          <w:color w:val="000000" w:themeColor="text1"/>
          <w:spacing w:val="-4"/>
          <w:lang w:val="hy-AM"/>
        </w:rPr>
        <w:t>«Mulberry»</w:t>
      </w:r>
      <w:r w:rsidR="002A4869" w:rsidRPr="00550EB2">
        <w:rPr>
          <w:rFonts w:ascii="GHEA Grapalat" w:hAnsi="GHEA Grapalat" w:cs="Times Armenian"/>
          <w:color w:val="000000" w:themeColor="text1"/>
          <w:spacing w:val="-4"/>
          <w:lang w:val="hy-AM"/>
        </w:rPr>
        <w:t xml:space="preserve"> </w:t>
      </w:r>
      <w:r w:rsidR="002A4869" w:rsidRPr="00550EB2">
        <w:rPr>
          <w:rFonts w:ascii="GHEA Grapalat" w:hAnsi="GHEA Grapalat" w:cs="Sylfaen"/>
          <w:color w:val="000000" w:themeColor="text1"/>
          <w:spacing w:val="-4"/>
          <w:lang w:val="hy-AM"/>
        </w:rPr>
        <w:t>էլեկտրոնային</w:t>
      </w:r>
      <w:r w:rsidR="002A4869" w:rsidRPr="00550EB2">
        <w:rPr>
          <w:rFonts w:ascii="GHEA Grapalat" w:hAnsi="GHEA Grapalat" w:cs="Times Armenian"/>
          <w:color w:val="000000" w:themeColor="text1"/>
          <w:spacing w:val="-4"/>
          <w:lang w:val="hy-AM"/>
        </w:rPr>
        <w:t xml:space="preserve"> </w:t>
      </w:r>
      <w:r w:rsidR="002A4869" w:rsidRPr="00550EB2">
        <w:rPr>
          <w:rFonts w:ascii="GHEA Grapalat" w:hAnsi="GHEA Grapalat" w:cs="Sylfaen"/>
          <w:color w:val="000000" w:themeColor="text1"/>
          <w:spacing w:val="-4"/>
          <w:lang w:val="hy-AM"/>
        </w:rPr>
        <w:t>փաստաթղթաշարժի</w:t>
      </w:r>
      <w:r w:rsidR="002A4869" w:rsidRPr="00550EB2">
        <w:rPr>
          <w:rFonts w:ascii="GHEA Grapalat" w:hAnsi="GHEA Grapalat" w:cs="Times Armenian"/>
          <w:color w:val="000000" w:themeColor="text1"/>
          <w:spacing w:val="-4"/>
          <w:lang w:val="hy-AM"/>
        </w:rPr>
        <w:t xml:space="preserve"> </w:t>
      </w:r>
      <w:r w:rsidR="002A4869" w:rsidRPr="00550EB2">
        <w:rPr>
          <w:rFonts w:ascii="GHEA Grapalat" w:hAnsi="GHEA Grapalat" w:cs="Sylfaen"/>
          <w:color w:val="000000" w:themeColor="text1"/>
          <w:spacing w:val="-4"/>
          <w:lang w:val="hy-AM"/>
        </w:rPr>
        <w:t>համակարգի համապատասխան բաժնում</w:t>
      </w:r>
      <w:r w:rsidR="002A4869" w:rsidRPr="00550EB2">
        <w:rPr>
          <w:rFonts w:ascii="GHEA Grapalat" w:hAnsi="GHEA Grapalat" w:cs="Arial"/>
          <w:color w:val="000000" w:themeColor="text1"/>
          <w:lang w:val="hy-AM" w:eastAsia="hy-AM"/>
        </w:rPr>
        <w:t>, ինչպես նաև տղեկացվում է Հաշվեքննիչ պալատի անդամներին:</w:t>
      </w:r>
      <w:bookmarkEnd w:id="3"/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</w:t>
      </w:r>
      <w:bookmarkEnd w:id="1"/>
    </w:p>
    <w:p w14:paraId="0C786B11" w14:textId="6A1182A4" w:rsidR="00A3222D" w:rsidRPr="00550EB2" w:rsidRDefault="0016611F" w:rsidP="00550EB2">
      <w:pPr>
        <w:pStyle w:val="ListParagraph"/>
        <w:numPr>
          <w:ilvl w:val="0"/>
          <w:numId w:val="2"/>
        </w:numPr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Հավելվածի 43-րդ, 50-րդ և 57-րդ կետերի 1-ին ենթակետում «</w:t>
      </w:r>
      <w:r w:rsidRPr="00550EB2">
        <w:rPr>
          <w:rFonts w:ascii="GHEA Grapalat" w:hAnsi="GHEA Grapalat"/>
          <w:color w:val="000000" w:themeColor="text1"/>
          <w:lang w:val="hy-AM" w:eastAsia="en-GB"/>
        </w:rPr>
        <w:t>տասնօրյակում,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» բառից հետո լրացնել </w:t>
      </w:r>
      <w:r w:rsidR="00B67C03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«</w:t>
      </w:r>
      <w:bookmarkStart w:id="4" w:name="_Hlk207810031"/>
      <w:r w:rsidR="00B67C03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(2025 թվականի չորրորդ եռամսյակի ծրագիրը հաստատվում է մինչև 2025 թվականի հոկտեմբերի 2-ը)</w:t>
      </w:r>
      <w:r w:rsidR="0099445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</w:t>
      </w:r>
      <w:bookmarkEnd w:id="4"/>
      <w:r w:rsidR="00B67C03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 բառերը</w:t>
      </w:r>
      <w:r w:rsidR="00362E1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, իսկ «աշխատանքային քննարման արձանագրությամբ» բառերը փոխարինել «որոշմամբ» բառով</w:t>
      </w:r>
      <w:r w:rsidR="00B67C03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, ինչպես նաև Հավելվածի 43-րդ և 50-րդ կետերի 8-րդ և 57-րդ կետերի 7-րդ ենթակետերում՝ «հաշվետվություն» բառը փոխարինել «հաղորդում» բառով, և «հաղորդում» բառից հետո լրացնել «</w:t>
      </w:r>
      <w:bookmarkStart w:id="5" w:name="_Hlk207810323"/>
      <w:r w:rsidR="00B67C03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(բացառությամբ 2025 թվականի հաղորդումների, որոնք ներկայացվում են միայն չորրորդ եռամսյակի համար)</w:t>
      </w:r>
      <w:r w:rsidR="0099445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</w:t>
      </w:r>
      <w:bookmarkEnd w:id="5"/>
      <w:r w:rsidR="00B67C03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 բառերը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:</w:t>
      </w:r>
    </w:p>
    <w:p w14:paraId="02B01B22" w14:textId="203FA428" w:rsidR="00A3222D" w:rsidRPr="00550EB2" w:rsidRDefault="0016611F" w:rsidP="00550EB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Հավելվածում լրացնել նոր՝ 44.1-ին, 44.2-րդ</w:t>
      </w:r>
      <w:r w:rsidR="00831A6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,</w:t>
      </w:r>
      <w:r w:rsidR="00B105C7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44.3-րդ</w:t>
      </w:r>
      <w:r w:rsidR="00831A6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և 44.4-րդ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կետեր հետևյալ բովանդակությամբ՝</w:t>
      </w:r>
    </w:p>
    <w:p w14:paraId="390DA46B" w14:textId="77777777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«</w:t>
      </w:r>
      <w:bookmarkStart w:id="6" w:name="_Hlk205911032"/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44.1.</w:t>
      </w: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Կոմիտեի քվորումն ապահովվում է անդամների մեծամասնության մասնակցությամբ:</w:t>
      </w:r>
    </w:p>
    <w:p w14:paraId="5B697822" w14:textId="77777777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44.2.Քվեարկության ժամանակ Կոմիտեի յուրաքանչյուր անդամ ունի մեկ ձայնի իրավունք:</w:t>
      </w:r>
    </w:p>
    <w:p w14:paraId="23AE736A" w14:textId="330455BA" w:rsidR="00F66989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44.3.Կոմիտեի որոշումներն, ինչպես նաև սույ</w:t>
      </w:r>
      <w:r w:rsidR="00BA43F8"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ն</w:t>
      </w: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B5A3D"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կանոնադրության</w:t>
      </w: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16-րդ կետով նախատեսված կարծիքը համարվում են ընդունված կոմիտեի առնվազն 2 անդամների կողմ քվեարկելու դեպքում: </w:t>
      </w:r>
    </w:p>
    <w:p w14:paraId="4ABD73FE" w14:textId="3B63545F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44.4. Կոմիտեն կարծիքը ներկայացնում է նախքան </w:t>
      </w:r>
      <w:r w:rsidRPr="00550EB2">
        <w:rPr>
          <w:rFonts w:ascii="GHEA Grapalat" w:hAnsi="GHEA Grapalat"/>
          <w:color w:val="000000" w:themeColor="text1"/>
          <w:lang w:val="hy-AM" w:eastAsia="en-GB"/>
        </w:rPr>
        <w:t>Հաշվեքննիչ պալատի համապատասխան նիստի գումարումը:</w:t>
      </w:r>
      <w:bookmarkEnd w:id="6"/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».</w:t>
      </w:r>
    </w:p>
    <w:p w14:paraId="6117AD84" w14:textId="7A4EC833" w:rsidR="00A3222D" w:rsidRPr="00550EB2" w:rsidRDefault="00037E5B" w:rsidP="00550EB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</w:t>
      </w:r>
      <w:r w:rsidR="0016611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Հավելվածում լրացնել նոր՝ 51.1-ին, 51.2-րդ</w:t>
      </w:r>
      <w:r w:rsidR="00831A6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,</w:t>
      </w:r>
      <w:r w:rsidR="000A5780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</w:t>
      </w:r>
      <w:r w:rsidR="0016611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51.3-րդ</w:t>
      </w:r>
      <w:r w:rsidR="00831A6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</w:t>
      </w:r>
      <w:r w:rsidR="000A5780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և </w:t>
      </w:r>
      <w:r w:rsidR="00831A6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51.4-րդ</w:t>
      </w:r>
      <w:r w:rsidR="0016611F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կետեր հետևյալ բովանդակությամբ՝</w:t>
      </w:r>
    </w:p>
    <w:p w14:paraId="64687D6A" w14:textId="77777777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lastRenderedPageBreak/>
        <w:t>«51.1.</w:t>
      </w: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Կոմիտեի քվորումն ապահովվում է անդամների մեծամասնության մասնակցությամբ:</w:t>
      </w:r>
    </w:p>
    <w:p w14:paraId="17A02AE5" w14:textId="77777777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51.2.Քվեարկության ժամանակ Կոմիտեի յուրաքանչյուր անդամ ունի մեկ ձայնի իրավունք:</w:t>
      </w:r>
    </w:p>
    <w:p w14:paraId="769A4F6E" w14:textId="0F65D456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51.3.</w:t>
      </w:r>
      <w:bookmarkStart w:id="7" w:name="_Hlk201567855"/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Կոմիտեի եզրակացությունը, ինչպես նաև </w:t>
      </w:r>
      <w:r w:rsidR="00DB5A3D"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սույն կանոնադրության </w:t>
      </w: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16-րդ կետով նախատեսված կարծիքը համարվում է ընդունված կոմիտեի առնվազն 2 անդամների կողմ քվեարկելու դեպքում: </w:t>
      </w:r>
    </w:p>
    <w:p w14:paraId="18E630AA" w14:textId="515EBFCA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51.4. 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Կոմիտեն կարծիքը ներկայացնում է նախքան </w:t>
      </w:r>
      <w:r w:rsidRPr="00550EB2">
        <w:rPr>
          <w:rFonts w:ascii="GHEA Grapalat" w:hAnsi="GHEA Grapalat"/>
          <w:color w:val="000000" w:themeColor="text1"/>
          <w:lang w:val="hy-AM" w:eastAsia="en-GB"/>
        </w:rPr>
        <w:t>Հաշվեքննիչ պալատի համապատասխան նիստի գումարումը: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».</w:t>
      </w:r>
      <w:bookmarkEnd w:id="7"/>
    </w:p>
    <w:p w14:paraId="51E5AD6B" w14:textId="4CCD680E" w:rsidR="00A3222D" w:rsidRPr="00550EB2" w:rsidRDefault="0016611F" w:rsidP="00550EB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Հավելվածում լրացնել նոր՝ 58.1-ին, 58.2-րդ</w:t>
      </w:r>
      <w:r w:rsidR="00831A6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,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58.3-րդ</w:t>
      </w:r>
      <w:r w:rsidR="00831A65"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և 58.4-րդ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 կետեր հետևյալ բովանդակությամբ՝</w:t>
      </w:r>
    </w:p>
    <w:p w14:paraId="733ABC88" w14:textId="26617C88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«58.1.</w:t>
      </w: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Կոմիտեի քվումն ապահովվում է անդամների մեծամասնության մասնակցությամբ:</w:t>
      </w:r>
    </w:p>
    <w:p w14:paraId="2F5FA55E" w14:textId="77777777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>58.2.Քվեարկության ժամանակ Կոմիտեի յուրաքանչյուր անդամ ունի մեկ ձայնի իրավունք:</w:t>
      </w:r>
    </w:p>
    <w:p w14:paraId="7D545734" w14:textId="0856CB67" w:rsidR="00F66989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58.3. Կոմիտեի եզրակացությունը, ինչպես նաև </w:t>
      </w:r>
      <w:r w:rsidR="00DB5A3D"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սույն կանոնադրության </w:t>
      </w: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16-րդ կետով նախատեսված կարծիքը համարվում է ընդունված կոմիտեի առնվազն 2 անդամների կողմ քվեարկելու դեպքում: </w:t>
      </w:r>
    </w:p>
    <w:p w14:paraId="5C456841" w14:textId="6650CAA6" w:rsidR="00A3222D" w:rsidRPr="00550EB2" w:rsidRDefault="0016611F" w:rsidP="00550EB2">
      <w:pPr>
        <w:pStyle w:val="ListParagraph"/>
        <w:tabs>
          <w:tab w:val="left" w:pos="990"/>
          <w:tab w:val="left" w:pos="1530"/>
          <w:tab w:val="left" w:pos="1620"/>
        </w:tabs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58.4. </w:t>
      </w: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 xml:space="preserve">Կոմիտեն կարծիքը ներկայացնում է նախքան </w:t>
      </w:r>
      <w:r w:rsidRPr="00550EB2">
        <w:rPr>
          <w:rFonts w:ascii="GHEA Grapalat" w:hAnsi="GHEA Grapalat"/>
          <w:color w:val="000000" w:themeColor="text1"/>
          <w:lang w:val="hy-AM" w:eastAsia="en-GB"/>
        </w:rPr>
        <w:t>Հաշվեքննիչ պալատի համապատասխան նիստի գումարումը:</w:t>
      </w:r>
      <w:r w:rsidRPr="00550EB2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»:</w:t>
      </w:r>
    </w:p>
    <w:p w14:paraId="6DBD733B" w14:textId="77777777" w:rsidR="00A3222D" w:rsidRPr="00550EB2" w:rsidRDefault="0016611F" w:rsidP="00550EB2">
      <w:pPr>
        <w:numPr>
          <w:ilvl w:val="0"/>
          <w:numId w:val="1"/>
        </w:numPr>
        <w:tabs>
          <w:tab w:val="left" w:pos="851"/>
          <w:tab w:val="left" w:pos="990"/>
        </w:tabs>
        <w:spacing w:after="0" w:line="360" w:lineRule="auto"/>
        <w:ind w:left="180" w:firstLine="54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550EB2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t>Սույն որոշումն ուժի մեջ է մտնում հրապարակմանը հաջորդող օրվանից:</w:t>
      </w:r>
    </w:p>
    <w:p w14:paraId="2441D59A" w14:textId="77777777" w:rsidR="00A3222D" w:rsidRPr="00550EB2" w:rsidRDefault="00A3222D" w:rsidP="00550EB2">
      <w:pPr>
        <w:spacing w:after="0" w:line="360" w:lineRule="auto"/>
        <w:rPr>
          <w:rFonts w:ascii="GHEA Grapalat" w:eastAsia="Times New Roman" w:hAnsi="GHEA Grapalat" w:cs="Sylfaen"/>
          <w:color w:val="000000" w:themeColor="text1"/>
          <w:lang w:val="af-ZA"/>
          <w14:ligatures w14:val="none"/>
        </w:rPr>
      </w:pPr>
    </w:p>
    <w:tbl>
      <w:tblPr>
        <w:tblStyle w:val="TableGrid1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1569"/>
        <w:gridCol w:w="5153"/>
      </w:tblGrid>
      <w:tr w:rsidR="00550EB2" w:rsidRPr="00550EB2" w14:paraId="2A1A5EE9" w14:textId="77777777" w:rsidTr="002C5E0B">
        <w:tc>
          <w:tcPr>
            <w:tcW w:w="4140" w:type="dxa"/>
          </w:tcPr>
          <w:p w14:paraId="0CAC3A1C" w14:textId="77777777" w:rsidR="00A3222D" w:rsidRPr="00550EB2" w:rsidRDefault="0016611F" w:rsidP="00550EB2">
            <w:pPr>
              <w:tabs>
                <w:tab w:val="left" w:pos="1095"/>
                <w:tab w:val="left" w:pos="3360"/>
                <w:tab w:val="center" w:pos="5245"/>
              </w:tabs>
              <w:spacing w:line="360" w:lineRule="auto"/>
              <w:ind w:left="702" w:hanging="627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550EB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ՀԱՇՎԵՔՆՆԻՉ  ՊԱԼԱՏԻ    ՆԱԽԱԳԱՀ</w:t>
            </w:r>
          </w:p>
        </w:tc>
        <w:tc>
          <w:tcPr>
            <w:tcW w:w="1247" w:type="dxa"/>
          </w:tcPr>
          <w:p w14:paraId="755007E9" w14:textId="77777777" w:rsidR="00A3222D" w:rsidRDefault="00A3222D" w:rsidP="002C5E0B">
            <w:pPr>
              <w:tabs>
                <w:tab w:val="left" w:pos="720"/>
              </w:tabs>
              <w:spacing w:line="360" w:lineRule="auto"/>
              <w:ind w:firstLine="972"/>
              <w:contextualSpacing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  <w:p w14:paraId="463DEA63" w14:textId="1385F7D7" w:rsidR="002C5E0B" w:rsidRPr="002C5E0B" w:rsidRDefault="00000000" w:rsidP="002C5E0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hyperlink r:id="rId10" w:tooltip="Ctrl+Click to validate and learn more about this digital signature" w:history="1">
              <w:r>
                <w:rPr>
                  <w:rFonts w:ascii="GHEA Grapalat" w:eastAsia="Times New Roman" w:hAnsi="GHEA Grapalat" w:cs="Times New Roman"/>
                  <w:lang w:val="hy-AM" w:eastAsia="ru-RU"/>
                  <w14:ligatures w14:val="standardContextual"/>
                </w:rPr>
                <w:pict w14:anchorId="2FDF3FEB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7.5pt;height:50.25pt">
                    <v:imagedata r:id="rId11" o:title=""/>
                  </v:shape>
                </w:pict>
              </w:r>
            </w:hyperlink>
          </w:p>
        </w:tc>
        <w:tc>
          <w:tcPr>
            <w:tcW w:w="5350" w:type="dxa"/>
          </w:tcPr>
          <w:p w14:paraId="5055A3DE" w14:textId="77777777" w:rsidR="00A3222D" w:rsidRPr="00550EB2" w:rsidRDefault="00A3222D" w:rsidP="00550EB2">
            <w:pPr>
              <w:tabs>
                <w:tab w:val="left" w:pos="720"/>
              </w:tabs>
              <w:spacing w:line="360" w:lineRule="auto"/>
              <w:ind w:firstLine="972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</w:p>
          <w:p w14:paraId="007C5591" w14:textId="77777777" w:rsidR="00A3222D" w:rsidRPr="00550EB2" w:rsidRDefault="00A3222D" w:rsidP="00550EB2">
            <w:pPr>
              <w:tabs>
                <w:tab w:val="left" w:pos="720"/>
              </w:tabs>
              <w:spacing w:line="360" w:lineRule="auto"/>
              <w:ind w:firstLine="972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</w:p>
          <w:p w14:paraId="3CEB4DF4" w14:textId="754B2BAE" w:rsidR="00A3222D" w:rsidRPr="00550EB2" w:rsidRDefault="0016611F" w:rsidP="002C5E0B">
            <w:pPr>
              <w:tabs>
                <w:tab w:val="left" w:pos="720"/>
              </w:tabs>
              <w:spacing w:line="360" w:lineRule="auto"/>
              <w:ind w:firstLine="345"/>
              <w:contextualSpacing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550EB2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/>
              </w:rPr>
              <w:t>Ա</w:t>
            </w:r>
            <w:r w:rsidR="009744AA" w:rsidRPr="00550EB2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/>
              </w:rPr>
              <w:t>.</w:t>
            </w:r>
            <w:r w:rsidRPr="00550EB2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/>
              </w:rPr>
              <w:t xml:space="preserve"> ՋԱՆՋՈՒՂԱԶՅԱՆ</w:t>
            </w:r>
          </w:p>
        </w:tc>
      </w:tr>
    </w:tbl>
    <w:p w14:paraId="50B7EAB5" w14:textId="77777777" w:rsidR="00A3222D" w:rsidRPr="00550EB2" w:rsidRDefault="00A3222D" w:rsidP="002C5E0B">
      <w:pPr>
        <w:spacing w:line="360" w:lineRule="auto"/>
        <w:rPr>
          <w:rFonts w:ascii="GHEA Grapalat" w:hAnsi="GHEA Grapalat"/>
          <w:b/>
          <w:bCs/>
          <w:color w:val="000000" w:themeColor="text1"/>
        </w:rPr>
      </w:pPr>
    </w:p>
    <w:sectPr w:rsidR="00A3222D" w:rsidRPr="00550EB2" w:rsidSect="007C177C">
      <w:pgSz w:w="12240" w:h="15840"/>
      <w:pgMar w:top="810" w:right="720" w:bottom="45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6ECA" w14:textId="77777777" w:rsidR="00901C82" w:rsidRDefault="00901C82">
      <w:pPr>
        <w:spacing w:after="0" w:line="240" w:lineRule="auto"/>
      </w:pPr>
      <w:r>
        <w:separator/>
      </w:r>
    </w:p>
  </w:endnote>
  <w:endnote w:type="continuationSeparator" w:id="0">
    <w:p w14:paraId="2B648209" w14:textId="77777777" w:rsidR="00901C82" w:rsidRDefault="0090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E287" w14:textId="77777777" w:rsidR="00901C82" w:rsidRDefault="00901C82">
      <w:pPr>
        <w:spacing w:after="0" w:line="240" w:lineRule="auto"/>
      </w:pPr>
      <w:r>
        <w:separator/>
      </w:r>
    </w:p>
  </w:footnote>
  <w:footnote w:type="continuationSeparator" w:id="0">
    <w:p w14:paraId="3A124190" w14:textId="77777777" w:rsidR="00901C82" w:rsidRDefault="0090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87A"/>
    <w:multiLevelType w:val="multilevel"/>
    <w:tmpl w:val="05DE6DA4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3FD67AC"/>
    <w:multiLevelType w:val="multilevel"/>
    <w:tmpl w:val="223A77DE"/>
    <w:lvl w:ilvl="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521E85"/>
    <w:multiLevelType w:val="multilevel"/>
    <w:tmpl w:val="FCB4122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59312329">
    <w:abstractNumId w:val="1"/>
  </w:num>
  <w:num w:numId="2" w16cid:durableId="297951714">
    <w:abstractNumId w:val="2"/>
  </w:num>
  <w:num w:numId="3" w16cid:durableId="106437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2D"/>
    <w:rsid w:val="00037E5B"/>
    <w:rsid w:val="00045E5C"/>
    <w:rsid w:val="000603D9"/>
    <w:rsid w:val="00062554"/>
    <w:rsid w:val="000868D6"/>
    <w:rsid w:val="000A5780"/>
    <w:rsid w:val="000F2BE0"/>
    <w:rsid w:val="00135637"/>
    <w:rsid w:val="0016611F"/>
    <w:rsid w:val="001872FF"/>
    <w:rsid w:val="001B5043"/>
    <w:rsid w:val="001B6477"/>
    <w:rsid w:val="001D4D00"/>
    <w:rsid w:val="001D6920"/>
    <w:rsid w:val="0022431C"/>
    <w:rsid w:val="0023185B"/>
    <w:rsid w:val="002A4869"/>
    <w:rsid w:val="002B0B34"/>
    <w:rsid w:val="002B4FD5"/>
    <w:rsid w:val="002C5E0B"/>
    <w:rsid w:val="00322934"/>
    <w:rsid w:val="003265BC"/>
    <w:rsid w:val="0033517A"/>
    <w:rsid w:val="00355F97"/>
    <w:rsid w:val="00362E15"/>
    <w:rsid w:val="003A55D1"/>
    <w:rsid w:val="00413B0B"/>
    <w:rsid w:val="00472BE1"/>
    <w:rsid w:val="00473A16"/>
    <w:rsid w:val="00486C89"/>
    <w:rsid w:val="004F2BEA"/>
    <w:rsid w:val="004F3E52"/>
    <w:rsid w:val="0050180B"/>
    <w:rsid w:val="00516DD0"/>
    <w:rsid w:val="00521B1E"/>
    <w:rsid w:val="005329FA"/>
    <w:rsid w:val="00550EB2"/>
    <w:rsid w:val="005A398F"/>
    <w:rsid w:val="005A434C"/>
    <w:rsid w:val="005B027B"/>
    <w:rsid w:val="006606D2"/>
    <w:rsid w:val="00675E3C"/>
    <w:rsid w:val="006B71FB"/>
    <w:rsid w:val="0070102C"/>
    <w:rsid w:val="00717689"/>
    <w:rsid w:val="00742B5B"/>
    <w:rsid w:val="0075119E"/>
    <w:rsid w:val="0078064D"/>
    <w:rsid w:val="007B7B7C"/>
    <w:rsid w:val="007C177C"/>
    <w:rsid w:val="007E5B51"/>
    <w:rsid w:val="00831A65"/>
    <w:rsid w:val="00843213"/>
    <w:rsid w:val="00846E89"/>
    <w:rsid w:val="00850FA0"/>
    <w:rsid w:val="0085729B"/>
    <w:rsid w:val="008B04C6"/>
    <w:rsid w:val="00901C82"/>
    <w:rsid w:val="0091522F"/>
    <w:rsid w:val="00927B9F"/>
    <w:rsid w:val="009744AA"/>
    <w:rsid w:val="0098249F"/>
    <w:rsid w:val="0099445F"/>
    <w:rsid w:val="009B6DEE"/>
    <w:rsid w:val="009C4EBD"/>
    <w:rsid w:val="00A1136B"/>
    <w:rsid w:val="00A3222D"/>
    <w:rsid w:val="00A41234"/>
    <w:rsid w:val="00A61A51"/>
    <w:rsid w:val="00A90EC0"/>
    <w:rsid w:val="00AA615B"/>
    <w:rsid w:val="00AA7E5D"/>
    <w:rsid w:val="00AE2BCB"/>
    <w:rsid w:val="00B0180C"/>
    <w:rsid w:val="00B105C7"/>
    <w:rsid w:val="00B672DE"/>
    <w:rsid w:val="00B67C03"/>
    <w:rsid w:val="00B76F12"/>
    <w:rsid w:val="00BA43F8"/>
    <w:rsid w:val="00BC28BB"/>
    <w:rsid w:val="00BC3C1E"/>
    <w:rsid w:val="00C2502C"/>
    <w:rsid w:val="00C852A4"/>
    <w:rsid w:val="00C92510"/>
    <w:rsid w:val="00D13C81"/>
    <w:rsid w:val="00D408D1"/>
    <w:rsid w:val="00D91B9D"/>
    <w:rsid w:val="00DB429C"/>
    <w:rsid w:val="00DB5A3D"/>
    <w:rsid w:val="00DB74B2"/>
    <w:rsid w:val="00E47403"/>
    <w:rsid w:val="00EE15E1"/>
    <w:rsid w:val="00F21B3E"/>
    <w:rsid w:val="00F236D6"/>
    <w:rsid w:val="00F26810"/>
    <w:rsid w:val="00F411FE"/>
    <w:rsid w:val="00F66989"/>
    <w:rsid w:val="00FF26A7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CFD736A"/>
  <w15:docId w15:val="{1827F6A7-67A8-4DBC-A93F-A15B151B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9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43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A6E2-39C5-4528-B6DB-11977C52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Մերի Մանուկյան</dc:creator>
  <cp:keywords>https:/mul2.armsai.am/tasks/21275/oneclick?token=4fa7db6de89d77d6b325e9f3e1825419</cp:keywords>
  <dc:description/>
  <cp:lastModifiedBy>Գայանե Մաթևոսյան</cp:lastModifiedBy>
  <cp:revision>3</cp:revision>
  <dcterms:created xsi:type="dcterms:W3CDTF">2025-10-02T11:42:00Z</dcterms:created>
  <dcterms:modified xsi:type="dcterms:W3CDTF">2025-10-02T11:43:00Z</dcterms:modified>
</cp:coreProperties>
</file>