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E95E" w14:textId="77777777" w:rsidR="00BE3993" w:rsidRDefault="00BE3993" w:rsidP="00BE3993">
      <w:pPr>
        <w:spacing w:after="0"/>
        <w:jc w:val="center"/>
        <w:rPr>
          <w:rFonts w:eastAsia="Times New Roman"/>
          <w:bCs/>
          <w:color w:val="1F3864" w:themeColor="accent1" w:themeShade="80"/>
          <w:sz w:val="28"/>
          <w:szCs w:val="28"/>
        </w:rPr>
      </w:pPr>
      <w:r w:rsidRPr="003B5B7B">
        <w:rPr>
          <w:noProof/>
          <w:color w:val="1F3864" w:themeColor="accent1" w:themeShade="80"/>
          <w:lang w:val="en-GB" w:eastAsia="en-GB"/>
        </w:rPr>
        <w:drawing>
          <wp:inline distT="0" distB="0" distL="0" distR="0" wp14:anchorId="72A9A488" wp14:editId="57A2D965">
            <wp:extent cx="1268316" cy="1238250"/>
            <wp:effectExtent l="0" t="0" r="8255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18" cy="12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7A51" w14:textId="77777777" w:rsidR="00BE3993" w:rsidRPr="003B5B7B" w:rsidRDefault="00BE3993" w:rsidP="00BE3993">
      <w:pPr>
        <w:spacing w:after="0"/>
        <w:jc w:val="center"/>
        <w:rPr>
          <w:rFonts w:eastAsia="Times New Roman"/>
          <w:bCs/>
          <w:color w:val="1F3864" w:themeColor="accent1" w:themeShade="80"/>
          <w:sz w:val="28"/>
          <w:szCs w:val="28"/>
        </w:rPr>
      </w:pPr>
    </w:p>
    <w:p w14:paraId="47AA2D9F" w14:textId="77777777" w:rsidR="00BE3993" w:rsidRPr="003B5B7B" w:rsidRDefault="00BE3993" w:rsidP="00BE3993">
      <w:pPr>
        <w:spacing w:after="0"/>
        <w:jc w:val="center"/>
        <w:rPr>
          <w:rFonts w:eastAsia="Times New Roman"/>
          <w:bCs/>
          <w:color w:val="1F3864" w:themeColor="accent1" w:themeShade="80"/>
          <w:sz w:val="28"/>
          <w:szCs w:val="28"/>
          <w:lang w:val="hy-AM"/>
        </w:rPr>
      </w:pPr>
      <w:r w:rsidRPr="003B5B7B">
        <w:rPr>
          <w:rFonts w:eastAsia="Times New Roman"/>
          <w:bCs/>
          <w:color w:val="1F3864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66A50F71" w14:textId="77777777" w:rsidR="00BE3993" w:rsidRPr="003B5B7B" w:rsidRDefault="00BE3993" w:rsidP="00BE3993">
      <w:pPr>
        <w:spacing w:after="0"/>
        <w:jc w:val="center"/>
        <w:rPr>
          <w:rFonts w:eastAsia="Times New Roman"/>
          <w:bCs/>
          <w:color w:val="1F3864" w:themeColor="accent1" w:themeShade="80"/>
          <w:sz w:val="28"/>
          <w:szCs w:val="28"/>
          <w:lang w:val="hy-AM"/>
        </w:rPr>
      </w:pPr>
      <w:r w:rsidRPr="003B5B7B">
        <w:rPr>
          <w:rFonts w:eastAsia="Times New Roman"/>
          <w:bCs/>
          <w:color w:val="1F3864" w:themeColor="accent1" w:themeShade="80"/>
          <w:sz w:val="28"/>
          <w:szCs w:val="28"/>
          <w:lang w:val="hy-AM"/>
        </w:rPr>
        <w:t>ՀԱՇՎԵՔՆՆԻՉ ՊԱԼԱՏ</w:t>
      </w:r>
    </w:p>
    <w:p w14:paraId="654E445B" w14:textId="77777777" w:rsidR="00BE3993" w:rsidRPr="003B5B7B" w:rsidRDefault="00BE3993" w:rsidP="00BE3993">
      <w:pPr>
        <w:spacing w:after="0"/>
        <w:jc w:val="center"/>
        <w:rPr>
          <w:rFonts w:eastAsia="Times New Roman"/>
          <w:bCs/>
          <w:color w:val="1F3864" w:themeColor="accent1" w:themeShade="80"/>
          <w:sz w:val="28"/>
          <w:szCs w:val="28"/>
          <w:lang w:val="hy-AM"/>
        </w:rPr>
      </w:pPr>
    </w:p>
    <w:p w14:paraId="09DD6C91" w14:textId="302854F8" w:rsidR="003B548A" w:rsidRPr="00416147" w:rsidRDefault="00BE3993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val="hy-AM"/>
        </w:rPr>
      </w:pPr>
      <w:r w:rsidRPr="003B5B7B">
        <w:rPr>
          <w:rFonts w:eastAsia="Times New Roman"/>
          <w:b/>
          <w:bCs/>
          <w:color w:val="1F3864" w:themeColor="accent1" w:themeShade="80"/>
          <w:sz w:val="32"/>
          <w:szCs w:val="28"/>
          <w:lang w:val="hy-AM"/>
        </w:rPr>
        <w:t>Ո Ր Ո Շ ՈՒ Մ</w:t>
      </w:r>
    </w:p>
    <w:p w14:paraId="5B351D79" w14:textId="77777777" w:rsidR="00BE3993" w:rsidRDefault="00BE3993" w:rsidP="003B548A">
      <w:pPr>
        <w:spacing w:after="0" w:line="276" w:lineRule="auto"/>
        <w:jc w:val="center"/>
        <w:rPr>
          <w:rFonts w:eastAsia="Times New Roman" w:cs="Times New Roman"/>
          <w:color w:val="000000" w:themeColor="text1"/>
          <w:lang w:val="hy-AM"/>
        </w:rPr>
      </w:pPr>
    </w:p>
    <w:p w14:paraId="0E9ABAA4" w14:textId="614CDEA0" w:rsidR="003B548A" w:rsidRPr="00441F69" w:rsidRDefault="003B548A" w:rsidP="003B548A">
      <w:pPr>
        <w:spacing w:after="0" w:line="276" w:lineRule="auto"/>
        <w:jc w:val="center"/>
        <w:rPr>
          <w:rFonts w:eastAsia="Times New Roman" w:cs="Times New Roman"/>
          <w:color w:val="44546A" w:themeColor="text2"/>
          <w:lang w:val="hy-AM"/>
        </w:rPr>
      </w:pPr>
      <w:r w:rsidRPr="00441F69">
        <w:rPr>
          <w:rFonts w:eastAsia="Times New Roman" w:cs="Times New Roman"/>
          <w:color w:val="44546A" w:themeColor="text2"/>
          <w:lang w:val="hy-AM"/>
        </w:rPr>
        <w:t>202</w:t>
      </w:r>
      <w:r w:rsidR="001D7160" w:rsidRPr="00441F69">
        <w:rPr>
          <w:rFonts w:eastAsia="Times New Roman" w:cs="Times New Roman"/>
          <w:color w:val="44546A" w:themeColor="text2"/>
          <w:lang w:val="hy-AM"/>
        </w:rPr>
        <w:t>5</w:t>
      </w:r>
      <w:r w:rsidRPr="00441F69">
        <w:rPr>
          <w:rFonts w:eastAsia="Times New Roman" w:cs="Times New Roman"/>
          <w:color w:val="44546A" w:themeColor="text2"/>
          <w:lang w:val="hy-AM"/>
        </w:rPr>
        <w:t xml:space="preserve"> թվականի </w:t>
      </w:r>
      <w:r w:rsidR="00077A25" w:rsidRPr="004B08CD">
        <w:rPr>
          <w:rFonts w:eastAsia="Times New Roman" w:cs="Times New Roman"/>
          <w:color w:val="44546A" w:themeColor="text2"/>
          <w:lang w:val="hy-AM"/>
        </w:rPr>
        <w:t>օգոստոսի 26</w:t>
      </w:r>
      <w:r w:rsidRPr="00441F69">
        <w:rPr>
          <w:rFonts w:eastAsia="Times New Roman" w:cs="Times New Roman"/>
          <w:color w:val="44546A" w:themeColor="text2"/>
          <w:lang w:val="hy-AM"/>
        </w:rPr>
        <w:t xml:space="preserve">-ի  </w:t>
      </w:r>
      <w:r w:rsidR="00441F69">
        <w:rPr>
          <w:rFonts w:eastAsia="Times New Roman" w:cs="Times New Roman"/>
          <w:color w:val="44546A" w:themeColor="text2"/>
          <w:lang w:val="hy-AM"/>
        </w:rPr>
        <w:t xml:space="preserve">№ </w:t>
      </w:r>
      <w:r w:rsidR="006000E5" w:rsidRPr="004B08CD">
        <w:rPr>
          <w:rFonts w:eastAsia="Times New Roman" w:cs="Times New Roman"/>
          <w:color w:val="44546A" w:themeColor="text2"/>
          <w:lang w:val="hy-AM"/>
        </w:rPr>
        <w:t>59-</w:t>
      </w:r>
      <w:r w:rsidRPr="00441F69">
        <w:rPr>
          <w:rFonts w:eastAsia="Times New Roman" w:cs="Times New Roman"/>
          <w:color w:val="44546A" w:themeColor="text2"/>
          <w:lang w:val="hy-AM"/>
        </w:rPr>
        <w:t>Լ</w:t>
      </w:r>
    </w:p>
    <w:p w14:paraId="60F6CF63" w14:textId="77777777" w:rsidR="003B548A" w:rsidRPr="00416147" w:rsidRDefault="003B548A" w:rsidP="003B548A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val="hy-AM"/>
        </w:rPr>
      </w:pPr>
    </w:p>
    <w:p w14:paraId="777EF070" w14:textId="77777777" w:rsidR="003B548A" w:rsidRPr="00416147" w:rsidRDefault="003B548A" w:rsidP="003B548A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val="hy-AM"/>
        </w:rPr>
      </w:pPr>
    </w:p>
    <w:p w14:paraId="384523D2" w14:textId="1609197B" w:rsidR="00077A25" w:rsidRPr="00077A25" w:rsidRDefault="003B548A" w:rsidP="00077A25">
      <w:pPr>
        <w:spacing w:after="0"/>
        <w:jc w:val="center"/>
        <w:rPr>
          <w:rFonts w:cs="Times New Roman"/>
          <w:b/>
          <w:sz w:val="26"/>
          <w:szCs w:val="26"/>
          <w:lang w:val="hy-AM"/>
        </w:rPr>
      </w:pPr>
      <w:bookmarkStart w:id="0" w:name="_Hlk170726539"/>
      <w:r w:rsidRPr="00416147"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  <w:t xml:space="preserve">ՀԱՇՎԵՔՆՆԻՉ ՊԱԼԱՏԻ </w:t>
      </w:r>
      <w:r w:rsidR="001D7160">
        <w:rPr>
          <w:rFonts w:cs="Times New Roman"/>
          <w:b/>
          <w:sz w:val="26"/>
          <w:szCs w:val="26"/>
          <w:lang w:val="hy-AM"/>
        </w:rPr>
        <w:t xml:space="preserve">2024 </w:t>
      </w:r>
      <w:r w:rsidR="00077A25">
        <w:rPr>
          <w:rFonts w:cs="Times New Roman"/>
          <w:b/>
          <w:sz w:val="26"/>
          <w:szCs w:val="26"/>
          <w:lang w:val="hy-AM"/>
        </w:rPr>
        <w:t xml:space="preserve">ԹՎԱԿԱՆԻ </w:t>
      </w:r>
      <w:r w:rsidR="00077A25" w:rsidRPr="00077A25">
        <w:rPr>
          <w:rFonts w:cs="Times New Roman"/>
          <w:b/>
          <w:sz w:val="26"/>
          <w:szCs w:val="26"/>
          <w:lang w:val="hy-AM"/>
        </w:rPr>
        <w:t xml:space="preserve">ՍԵՊՏԵՄԲԵՐԻ 9-Ի </w:t>
      </w:r>
      <w:r w:rsidR="00077A25">
        <w:rPr>
          <w:rFonts w:cs="Times New Roman"/>
          <w:b/>
          <w:sz w:val="26"/>
          <w:szCs w:val="26"/>
          <w:lang w:val="hy-AM"/>
        </w:rPr>
        <w:t>№</w:t>
      </w:r>
      <w:r w:rsidR="00077A25" w:rsidRPr="004B08CD">
        <w:rPr>
          <w:rFonts w:cs="Times New Roman"/>
          <w:b/>
          <w:sz w:val="26"/>
          <w:szCs w:val="26"/>
          <w:lang w:val="hy-AM"/>
        </w:rPr>
        <w:t xml:space="preserve"> </w:t>
      </w:r>
      <w:r w:rsidR="00077A25" w:rsidRPr="00077A25">
        <w:rPr>
          <w:rFonts w:cs="Times New Roman"/>
          <w:b/>
          <w:sz w:val="26"/>
          <w:szCs w:val="26"/>
          <w:lang w:val="hy-AM"/>
        </w:rPr>
        <w:t>91-Լ</w:t>
      </w:r>
    </w:p>
    <w:p w14:paraId="5BDAF2F8" w14:textId="439183AA" w:rsidR="003B548A" w:rsidRPr="00416147" w:rsidRDefault="00077A25" w:rsidP="003B548A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hy-AM"/>
        </w:rPr>
      </w:pPr>
      <w:r>
        <w:rPr>
          <w:rFonts w:cs="Times New Roman"/>
          <w:b/>
          <w:sz w:val="26"/>
          <w:szCs w:val="26"/>
          <w:lang w:val="hy-AM"/>
        </w:rPr>
        <w:t xml:space="preserve">ՈՐՈՇՄԱՆ ՄԵՋ </w:t>
      </w:r>
      <w:r w:rsidR="005A0D12" w:rsidRPr="004B08CD">
        <w:rPr>
          <w:rFonts w:cs="Times New Roman"/>
          <w:b/>
          <w:sz w:val="26"/>
          <w:szCs w:val="26"/>
          <w:lang w:val="hy-AM"/>
        </w:rPr>
        <w:t xml:space="preserve">ԼՐԱՑՈՒՄ ԵՎ </w:t>
      </w:r>
      <w:r>
        <w:rPr>
          <w:rFonts w:cs="Times New Roman"/>
          <w:b/>
          <w:sz w:val="26"/>
          <w:szCs w:val="26"/>
          <w:lang w:val="hy-AM"/>
        </w:rPr>
        <w:t>ՓՈՓՈԽՈՒԹՅՈՒ</w:t>
      </w:r>
      <w:r w:rsidR="00441F69">
        <w:rPr>
          <w:rFonts w:cs="Times New Roman"/>
          <w:b/>
          <w:sz w:val="26"/>
          <w:szCs w:val="26"/>
          <w:lang w:val="hy-AM"/>
        </w:rPr>
        <w:t>Ն</w:t>
      </w:r>
      <w:r w:rsidR="00824C07">
        <w:rPr>
          <w:rFonts w:cs="Times New Roman"/>
          <w:b/>
          <w:sz w:val="26"/>
          <w:szCs w:val="26"/>
          <w:lang w:val="hy-AM"/>
        </w:rPr>
        <w:t xml:space="preserve"> </w:t>
      </w:r>
      <w:r w:rsidR="001D7160">
        <w:rPr>
          <w:rFonts w:cs="Times New Roman"/>
          <w:b/>
          <w:sz w:val="26"/>
          <w:szCs w:val="26"/>
          <w:lang w:val="hy-AM"/>
        </w:rPr>
        <w:t>ԿԱՏԱՐԵԼՈՒ</w:t>
      </w:r>
      <w:r w:rsidR="00D75F8B" w:rsidRPr="00416147"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  <w:t xml:space="preserve"> </w:t>
      </w:r>
      <w:r w:rsidR="003B548A" w:rsidRPr="00416147"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  <w:t>ՄԱՍԻՆ</w:t>
      </w:r>
      <w:bookmarkEnd w:id="0"/>
    </w:p>
    <w:p w14:paraId="79A7FEB7" w14:textId="77777777" w:rsidR="003B548A" w:rsidRPr="00416147" w:rsidRDefault="003B548A" w:rsidP="003B548A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val="hy-AM"/>
        </w:rPr>
      </w:pPr>
    </w:p>
    <w:p w14:paraId="3CE39E87" w14:textId="77777777" w:rsidR="003B548A" w:rsidRPr="00416147" w:rsidRDefault="003B548A" w:rsidP="003B548A">
      <w:pPr>
        <w:spacing w:after="0" w:line="276" w:lineRule="auto"/>
        <w:jc w:val="center"/>
        <w:rPr>
          <w:rFonts w:eastAsia="Times New Roman" w:cs="Times New Roman"/>
          <w:bCs/>
          <w:color w:val="000000" w:themeColor="text1"/>
          <w:lang w:val="hy-AM"/>
        </w:rPr>
      </w:pPr>
    </w:p>
    <w:p w14:paraId="03457830" w14:textId="20171F61" w:rsidR="003B548A" w:rsidRPr="00416147" w:rsidRDefault="003B548A" w:rsidP="003B548A">
      <w:pPr>
        <w:spacing w:after="0" w:line="276" w:lineRule="auto"/>
        <w:ind w:firstLine="567"/>
        <w:jc w:val="both"/>
        <w:rPr>
          <w:rFonts w:eastAsia="Times New Roman" w:cs="Sylfaen"/>
          <w:color w:val="000000" w:themeColor="text1"/>
          <w:lang w:val="hy-AM"/>
        </w:rPr>
      </w:pPr>
      <w:r w:rsidRPr="00416147">
        <w:rPr>
          <w:rFonts w:eastAsia="Times New Roman" w:cs="Sylfaen"/>
          <w:color w:val="000000" w:themeColor="text1"/>
          <w:lang w:val="hy-AM"/>
        </w:rPr>
        <w:t>Ղեկավարվելով Հաշվեքննիչ պալատի մասին օրենքի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 </w:t>
      </w:r>
      <w:r w:rsidR="003A6BE4" w:rsidRPr="00416147">
        <w:rPr>
          <w:rFonts w:eastAsia="Times New Roman" w:cs="Times New Roman"/>
          <w:color w:val="000000" w:themeColor="text1"/>
          <w:lang w:val="hy-AM"/>
        </w:rPr>
        <w:t xml:space="preserve">10-րդ հոդվածի 1-ին </w:t>
      </w:r>
      <w:r w:rsidR="001D7160">
        <w:rPr>
          <w:rFonts w:eastAsia="Times New Roman" w:cs="Times New Roman"/>
          <w:color w:val="000000" w:themeColor="text1"/>
          <w:lang w:val="hy-AM"/>
        </w:rPr>
        <w:t xml:space="preserve">11-րդ </w:t>
      </w:r>
      <w:r w:rsidR="003A6BE4" w:rsidRPr="00416147">
        <w:rPr>
          <w:rFonts w:eastAsia="Times New Roman" w:cs="Times New Roman"/>
          <w:color w:val="000000" w:themeColor="text1"/>
          <w:lang w:val="hy-AM"/>
        </w:rPr>
        <w:t xml:space="preserve">կետով և </w:t>
      </w:r>
      <w:r w:rsidR="001D7160">
        <w:rPr>
          <w:rFonts w:eastAsia="Times New Roman" w:cs="Times New Roman"/>
          <w:color w:val="000000" w:themeColor="text1"/>
          <w:lang w:val="hy-AM"/>
        </w:rPr>
        <w:t>«Նորմատիվ իրավական ակտերի մասին» օրենքի 33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-րդ հոդվածի </w:t>
      </w:r>
      <w:r w:rsidR="001D7160">
        <w:rPr>
          <w:rFonts w:eastAsia="Times New Roman" w:cs="Times New Roman"/>
          <w:color w:val="000000" w:themeColor="text1"/>
          <w:lang w:val="hy-AM"/>
        </w:rPr>
        <w:t xml:space="preserve">1-ին մասի </w:t>
      </w:r>
      <w:r w:rsidR="00441F69">
        <w:rPr>
          <w:rFonts w:eastAsia="Times New Roman" w:cs="Times New Roman"/>
          <w:color w:val="000000" w:themeColor="text1"/>
          <w:lang w:val="hy-AM"/>
        </w:rPr>
        <w:t>3-րդ</w:t>
      </w:r>
      <w:r w:rsidR="001D7160">
        <w:rPr>
          <w:rFonts w:eastAsia="Times New Roman" w:cs="Times New Roman"/>
          <w:color w:val="000000" w:themeColor="text1"/>
          <w:lang w:val="hy-AM"/>
        </w:rPr>
        <w:t xml:space="preserve"> կետ</w:t>
      </w:r>
      <w:r w:rsidRPr="00416147">
        <w:rPr>
          <w:rFonts w:eastAsia="Times New Roman" w:cs="Times New Roman"/>
          <w:color w:val="000000" w:themeColor="text1"/>
          <w:lang w:val="hy-AM"/>
        </w:rPr>
        <w:t>ով</w:t>
      </w:r>
      <w:r w:rsidR="005A0D12" w:rsidRPr="004B08CD">
        <w:rPr>
          <w:rFonts w:eastAsia="Times New Roman" w:cs="Times New Roman"/>
          <w:color w:val="000000" w:themeColor="text1"/>
          <w:lang w:val="hy-AM"/>
        </w:rPr>
        <w:t xml:space="preserve"> և 3-րդ մասով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` </w:t>
      </w:r>
      <w:r w:rsidRPr="00416147">
        <w:rPr>
          <w:rFonts w:eastAsia="Times New Roman" w:cs="Sylfaen"/>
          <w:color w:val="000000" w:themeColor="text1"/>
          <w:lang w:val="hy-AM"/>
        </w:rPr>
        <w:t>Հաշվեքննիչ պալատը</w:t>
      </w:r>
    </w:p>
    <w:p w14:paraId="1B20866F" w14:textId="3D4C6F63" w:rsidR="003B548A" w:rsidRDefault="003B548A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3859F64B" w14:textId="77777777" w:rsidR="00983FEB" w:rsidRPr="00416147" w:rsidRDefault="00983FEB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49D1FE42" w14:textId="77777777" w:rsidR="003B548A" w:rsidRPr="00416147" w:rsidRDefault="003B548A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  <w:r w:rsidRPr="00416147">
        <w:rPr>
          <w:rFonts w:eastAsia="Times New Roman" w:cs="Times New Roman"/>
          <w:b/>
          <w:bCs/>
          <w:color w:val="000000" w:themeColor="text1"/>
          <w:lang w:val="hy-AM"/>
        </w:rPr>
        <w:t>Ո Ր Ո Շ ՈՒ Մ  Է`</w:t>
      </w:r>
    </w:p>
    <w:p w14:paraId="181401B8" w14:textId="6E4A601A" w:rsidR="003B548A" w:rsidRDefault="003B548A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3655C2E0" w14:textId="77777777" w:rsidR="00983FEB" w:rsidRPr="00416147" w:rsidRDefault="00983FEB" w:rsidP="003B548A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7DE058B9" w14:textId="2F90FF58" w:rsidR="00824C07" w:rsidRPr="005F609D" w:rsidRDefault="001D7160" w:rsidP="005F609D">
      <w:pPr>
        <w:pStyle w:val="ListParagraph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567"/>
        <w:rPr>
          <w:rFonts w:cs="Sylfaen"/>
        </w:rPr>
      </w:pPr>
      <w:bookmarkStart w:id="1" w:name="_Hlk204165105"/>
      <w:r w:rsidRPr="005F609D">
        <w:rPr>
          <w:rFonts w:cs="Sylfaen"/>
        </w:rPr>
        <w:t xml:space="preserve">Հաշվեքննիչ պալատի </w:t>
      </w:r>
      <w:r w:rsidR="00F816B9" w:rsidRPr="005F609D">
        <w:rPr>
          <w:rFonts w:cs="Sylfaen"/>
        </w:rPr>
        <w:t xml:space="preserve">2024 թվականի </w:t>
      </w:r>
      <w:r w:rsidR="00077A25" w:rsidRPr="005F609D">
        <w:rPr>
          <w:rFonts w:cs="Sylfaen"/>
        </w:rPr>
        <w:t>սեպտեմբերի 9-ի «</w:t>
      </w:r>
      <w:r w:rsidR="00077A25" w:rsidRPr="005F609D">
        <w:rPr>
          <w:rFonts w:eastAsia="Times New Roman" w:cs="Times New Roman"/>
          <w:bCs/>
          <w:color w:val="000000" w:themeColor="text1"/>
        </w:rPr>
        <w:t xml:space="preserve">Հաշվեքննիչ պալատի </w:t>
      </w:r>
      <w:r w:rsidR="00077A25" w:rsidRPr="005F609D">
        <w:rPr>
          <w:rFonts w:cs="Times New Roman"/>
        </w:rPr>
        <w:t>գործունեության ծրագիրը կազմելու</w:t>
      </w:r>
      <w:r w:rsidR="00077A25" w:rsidRPr="005F609D">
        <w:rPr>
          <w:rFonts w:eastAsia="Times New Roman" w:cs="Times New Roman"/>
          <w:bCs/>
          <w:color w:val="000000" w:themeColor="text1"/>
        </w:rPr>
        <w:t xml:space="preserve"> կարգը հաստատելու մասին» </w:t>
      </w:r>
      <w:r w:rsidR="00077A25" w:rsidRPr="005F609D">
        <w:rPr>
          <w:rFonts w:cs="Times New Roman"/>
          <w:b/>
          <w:sz w:val="26"/>
          <w:szCs w:val="26"/>
        </w:rPr>
        <w:t>№</w:t>
      </w:r>
      <w:r w:rsidR="00077A25" w:rsidRPr="005F609D">
        <w:rPr>
          <w:rFonts w:cs="Sylfaen"/>
        </w:rPr>
        <w:t xml:space="preserve"> 91-Լ </w:t>
      </w:r>
      <w:r w:rsidR="00F816B9" w:rsidRPr="005F609D">
        <w:rPr>
          <w:rFonts w:cs="Sylfaen"/>
        </w:rPr>
        <w:t>որոշման</w:t>
      </w:r>
      <w:bookmarkEnd w:id="1"/>
      <w:r w:rsidRPr="005F609D">
        <w:rPr>
          <w:rFonts w:cs="Sylfaen"/>
        </w:rPr>
        <w:t xml:space="preserve"> </w:t>
      </w:r>
      <w:r w:rsidR="00824C07" w:rsidRPr="005F609D">
        <w:rPr>
          <w:rFonts w:cs="Sylfaen"/>
        </w:rPr>
        <w:t>մեջ կատարել հետևյալ փոփոխությունը՝</w:t>
      </w:r>
    </w:p>
    <w:p w14:paraId="124FE579" w14:textId="6840F71D" w:rsidR="005F609D" w:rsidRPr="00F5481D" w:rsidRDefault="00824C07" w:rsidP="00F5481D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eastAsia="Times New Roman" w:cs="Times New Roman"/>
          <w:bCs/>
          <w:color w:val="000000" w:themeColor="text1"/>
        </w:rPr>
      </w:pPr>
      <w:r w:rsidRPr="00077A25">
        <w:rPr>
          <w:rFonts w:eastAsia="Times New Roman" w:cs="Times New Roman"/>
          <w:bCs/>
          <w:color w:val="000000" w:themeColor="text1"/>
        </w:rPr>
        <w:t xml:space="preserve">որոշման հավելվածի </w:t>
      </w:r>
      <w:r w:rsidR="00077A25" w:rsidRPr="004B08CD">
        <w:rPr>
          <w:rFonts w:eastAsia="Times New Roman" w:cs="Times New Roman"/>
          <w:bCs/>
          <w:color w:val="000000" w:themeColor="text1"/>
        </w:rPr>
        <w:t>26-րդ մասի</w:t>
      </w:r>
      <w:r w:rsidRPr="00077A25">
        <w:rPr>
          <w:rFonts w:eastAsia="Times New Roman" w:cs="Times New Roman"/>
          <w:bCs/>
          <w:color w:val="000000" w:themeColor="text1"/>
        </w:rPr>
        <w:t xml:space="preserve"> 1-ին </w:t>
      </w:r>
      <w:r w:rsidRPr="00077A25">
        <w:rPr>
          <w:rFonts w:cs="Sylfaen"/>
        </w:rPr>
        <w:t>կետի «</w:t>
      </w:r>
      <w:r w:rsidR="00077A25">
        <w:t>Պետական բյուջեի ֆինանսական հաշվեքննության առարկան պետական բյուջեի մուտքերի ձևավորման և ելքերի իրականացման կանոնակարգված գործունեությունն է, որի շրջանակում հաշվեքննության են ենթարկվում պետական բյուջեով նախատեսված ծրագրերը։</w:t>
      </w:r>
      <w:r w:rsidRPr="00824C07">
        <w:rPr>
          <w:rFonts w:cs="Sylfaen"/>
        </w:rPr>
        <w:t xml:space="preserve">» </w:t>
      </w:r>
      <w:r w:rsidR="005F609D" w:rsidRPr="003E5A5A">
        <w:rPr>
          <w:rFonts w:cs="Sylfaen"/>
        </w:rPr>
        <w:t>նախադասությունը</w:t>
      </w:r>
      <w:r w:rsidR="00077A25" w:rsidRPr="003E5A5A">
        <w:rPr>
          <w:rFonts w:cs="Sylfaen"/>
        </w:rPr>
        <w:t xml:space="preserve"> </w:t>
      </w:r>
      <w:r w:rsidR="005F609D" w:rsidRPr="003E5A5A">
        <w:rPr>
          <w:rFonts w:cs="Sylfaen"/>
        </w:rPr>
        <w:t>շարադրել նոր խմբագրությամբ՝</w:t>
      </w:r>
      <w:r w:rsidR="00F5481D" w:rsidRPr="003E5A5A">
        <w:rPr>
          <w:rFonts w:eastAsia="Times New Roman" w:cs="Times New Roman"/>
          <w:bCs/>
          <w:color w:val="000000" w:themeColor="text1"/>
        </w:rPr>
        <w:t xml:space="preserve"> </w:t>
      </w:r>
      <w:r w:rsidR="005F609D" w:rsidRPr="003E5A5A">
        <w:rPr>
          <w:rFonts w:eastAsia="Times New Roman" w:cs="Times New Roman"/>
          <w:bCs/>
          <w:color w:val="000000" w:themeColor="text1"/>
        </w:rPr>
        <w:t>«</w:t>
      </w:r>
      <w:r w:rsidR="005F609D">
        <w:t xml:space="preserve">Պետական բյուջեի ֆինանսական հաշվեքննության առարկան </w:t>
      </w:r>
      <w:r w:rsidR="005F609D" w:rsidRPr="00F5481D">
        <w:rPr>
          <w:rFonts w:eastAsia="Times New Roman" w:cs="Times New Roman"/>
          <w:color w:val="000000"/>
          <w:lang w:eastAsia="ru-RU"/>
        </w:rPr>
        <w:t>պետական բյուջեի կատարումն է, որի շրջանակում հաշվեքննվում են պետական բյուջեով նախատեսված ծրագրերը։</w:t>
      </w:r>
      <w:r w:rsidR="005F609D" w:rsidRPr="00F5481D">
        <w:rPr>
          <w:rFonts w:eastAsia="Times New Roman" w:cs="Times New Roman"/>
          <w:color w:val="000000"/>
          <w:lang w:val="en-US" w:eastAsia="ru-RU"/>
        </w:rPr>
        <w:t>»:</w:t>
      </w:r>
    </w:p>
    <w:p w14:paraId="16ACA00E" w14:textId="1A7652C7" w:rsidR="002079DE" w:rsidRPr="004B08CD" w:rsidRDefault="005A0D12" w:rsidP="00CE48F5">
      <w:pPr>
        <w:pStyle w:val="ListParagraph"/>
        <w:widowControl w:val="0"/>
        <w:numPr>
          <w:ilvl w:val="0"/>
          <w:numId w:val="43"/>
        </w:numPr>
        <w:tabs>
          <w:tab w:val="left" w:pos="567"/>
          <w:tab w:val="left" w:pos="851"/>
        </w:tabs>
        <w:autoSpaceDN w:val="0"/>
        <w:adjustRightInd w:val="0"/>
        <w:spacing w:after="0" w:line="240" w:lineRule="auto"/>
        <w:ind w:left="0" w:firstLine="567"/>
        <w:rPr>
          <w:rFonts w:eastAsia="Times New Roman" w:cs="Calibri"/>
          <w:b/>
          <w:lang w:bidi="hi-IN"/>
        </w:rPr>
      </w:pPr>
      <w:r w:rsidRPr="002079DE">
        <w:rPr>
          <w:rFonts w:eastAsia="Times New Roman" w:cs="Times New Roman"/>
          <w:bCs/>
          <w:color w:val="000000" w:themeColor="text1"/>
        </w:rPr>
        <w:lastRenderedPageBreak/>
        <w:t xml:space="preserve">որոշման հավելվածի </w:t>
      </w:r>
      <w:r w:rsidRPr="004B08CD">
        <w:rPr>
          <w:rFonts w:eastAsia="Times New Roman" w:cs="Times New Roman"/>
          <w:bCs/>
          <w:color w:val="000000" w:themeColor="text1"/>
        </w:rPr>
        <w:t xml:space="preserve">Ձև 2-ի </w:t>
      </w:r>
      <w:r w:rsidR="002079DE" w:rsidRPr="002079DE">
        <w:rPr>
          <w:rFonts w:eastAsia="Times New Roman" w:cs="Times New Roman"/>
          <w:bCs/>
          <w:color w:val="000000" w:themeColor="text1"/>
        </w:rPr>
        <w:t xml:space="preserve">1-ին բաժնի </w:t>
      </w:r>
      <w:r w:rsidR="002079DE" w:rsidRPr="004B08CD">
        <w:rPr>
          <w:rFonts w:eastAsia="Times New Roman" w:cs="Times New Roman"/>
          <w:bCs/>
          <w:color w:val="000000" w:themeColor="text1"/>
        </w:rPr>
        <w:t>«</w:t>
      </w:r>
      <w:r w:rsidR="002079DE" w:rsidRPr="004B08CD">
        <w:rPr>
          <w:rFonts w:eastAsia="Times New Roman" w:cs="Calibri"/>
          <w:lang w:bidi="hi-IN"/>
        </w:rPr>
        <w:t>Պ</w:t>
      </w:r>
      <w:r w:rsidR="002079DE" w:rsidRPr="002079DE">
        <w:rPr>
          <w:rFonts w:eastAsia="Times New Roman" w:cs="Calibri"/>
          <w:lang w:bidi="hi-IN"/>
        </w:rPr>
        <w:t>ետական բյուջեի ֆինանսական հաշվեքննություն</w:t>
      </w:r>
      <w:r w:rsidR="002079DE" w:rsidRPr="004B08CD">
        <w:rPr>
          <w:rFonts w:eastAsia="Times New Roman" w:cs="Calibri"/>
          <w:lang w:bidi="hi-IN"/>
        </w:rPr>
        <w:t>»</w:t>
      </w:r>
      <w:r w:rsidR="002079DE" w:rsidRPr="002079DE">
        <w:rPr>
          <w:rFonts w:eastAsia="Times New Roman" w:cs="Calibri"/>
          <w:lang w:bidi="hi-IN"/>
        </w:rPr>
        <w:t xml:space="preserve"> աղյուսակը լրացնել հետևյալ բովանդակությամբ՝</w:t>
      </w:r>
      <w:r w:rsidR="002079DE" w:rsidRPr="004B08CD">
        <w:rPr>
          <w:rFonts w:eastAsia="Times New Roman" w:cs="Calibri"/>
          <w:lang w:bidi="hi-IN"/>
        </w:rPr>
        <w:t xml:space="preserve"> </w:t>
      </w:r>
      <w:r w:rsidR="002079DE" w:rsidRPr="002079DE">
        <w:rPr>
          <w:rFonts w:eastAsia="Times New Roman" w:cs="Calibri"/>
          <w:lang w:bidi="hi-IN"/>
        </w:rPr>
        <w:t>նոր սյունակով</w:t>
      </w:r>
      <w:r w:rsidR="002079DE" w:rsidRPr="004B08CD">
        <w:rPr>
          <w:rFonts w:eastAsia="Times New Roman" w:cs="Calibri"/>
          <w:lang w:bidi="hi-IN"/>
        </w:rPr>
        <w:t xml:space="preserve"> «Հաշվ</w:t>
      </w:r>
      <w:r w:rsidR="00F5481D" w:rsidRPr="004B08CD">
        <w:rPr>
          <w:rFonts w:eastAsia="Times New Roman" w:cs="Calibri"/>
          <w:lang w:bidi="hi-IN"/>
        </w:rPr>
        <w:t>ե</w:t>
      </w:r>
      <w:r w:rsidR="002079DE" w:rsidRPr="004B08CD">
        <w:rPr>
          <w:rFonts w:eastAsia="Times New Roman" w:cs="Calibri"/>
          <w:lang w:bidi="hi-IN"/>
        </w:rPr>
        <w:t>քննության տեսակ»:</w:t>
      </w:r>
    </w:p>
    <w:p w14:paraId="29D089E5" w14:textId="795EFF55" w:rsidR="003B548A" w:rsidRPr="005F609D" w:rsidRDefault="003B548A" w:rsidP="005F609D">
      <w:pPr>
        <w:pStyle w:val="ListParagraph"/>
        <w:numPr>
          <w:ilvl w:val="0"/>
          <w:numId w:val="45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eastAsia="Times New Roman" w:cs="Times New Roman"/>
          <w:bCs/>
          <w:color w:val="000000" w:themeColor="text1"/>
        </w:rPr>
      </w:pPr>
      <w:r w:rsidRPr="005F609D">
        <w:rPr>
          <w:rFonts w:eastAsia="Times New Roman" w:cs="Times New Roman"/>
          <w:bCs/>
          <w:color w:val="000000" w:themeColor="text1"/>
        </w:rPr>
        <w:t>Սույն որոշումն ուժի մեջ է մտնում հրապարակմանը հաջորդող օրվանից:</w:t>
      </w:r>
    </w:p>
    <w:p w14:paraId="7B006542" w14:textId="77777777" w:rsidR="003B548A" w:rsidRDefault="003B548A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41806F2A" w14:textId="1321E7EA" w:rsidR="00441F69" w:rsidRDefault="00441F69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16CABC00" w14:textId="77777777" w:rsidR="00983FEB" w:rsidRDefault="00983FEB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57505FA5" w14:textId="77777777" w:rsidR="00441F69" w:rsidRDefault="00441F69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50E68812" w14:textId="77777777" w:rsidR="00441F69" w:rsidRPr="00416147" w:rsidRDefault="00441F69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69"/>
        <w:gridCol w:w="3402"/>
      </w:tblGrid>
      <w:tr w:rsidR="005A163A" w14:paraId="1CB9548B" w14:textId="77777777" w:rsidTr="005A163A">
        <w:tc>
          <w:tcPr>
            <w:tcW w:w="3119" w:type="dxa"/>
          </w:tcPr>
          <w:p w14:paraId="1417DCCD" w14:textId="77777777" w:rsidR="005A163A" w:rsidRPr="00B167A3" w:rsidRDefault="005A163A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  <w:r>
              <w:rPr>
                <w:rFonts w:ascii="GHEA Grapalat" w:hAnsi="GHEA Grapalat"/>
                <w:lang w:bidi="he-IL"/>
              </w:rPr>
              <w:t>ՀԱՇՎԵՔՆՆԻՉ ՊԱԼԱՏԻ</w:t>
            </w:r>
            <w:r w:rsidRPr="0060340E">
              <w:rPr>
                <w:rFonts w:ascii="GHEA Grapalat" w:hAnsi="GHEA Grapalat" w:cs="Sylfaen"/>
                <w:lang w:bidi="he-IL"/>
              </w:rPr>
              <w:t xml:space="preserve"> ՆԱԽԱԳԱՀ</w:t>
            </w:r>
          </w:p>
        </w:tc>
        <w:tc>
          <w:tcPr>
            <w:tcW w:w="1276" w:type="dxa"/>
          </w:tcPr>
          <w:p w14:paraId="727E6AC1" w14:textId="237D3404" w:rsidR="005A163A" w:rsidRDefault="00EF1D4B" w:rsidP="00983FEB">
            <w:pPr>
              <w:spacing w:line="276" w:lineRule="auto"/>
              <w:rPr>
                <w:rFonts w:ascii="GHEA Grapalat" w:hAnsi="GHEA Grapalat"/>
                <w:lang w:bidi="he-IL"/>
              </w:rPr>
            </w:pPr>
            <w:hyperlink r:id="rId6" w:tooltip="Ctrl+Click to validate and learn more about this digital signature" w:history="1">
              <w:r w:rsidR="006E6C50">
                <w:rPr>
                  <w:rFonts w:ascii="GHEA Grapalat" w:eastAsiaTheme="minorHAnsi" w:hAnsi="GHEA Grapalat" w:cs="Helvetica"/>
                  <w:sz w:val="24"/>
                  <w:szCs w:val="24"/>
                </w:rPr>
                <w:object w:dxaOrig="225" w:dyaOrig="225" w14:anchorId="72CAE06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7" o:title=""/>
                  </v:shape>
                  <w:control r:id="rId8" w:name="ArGrDigsig1" w:shapeid="_x0000_i1026"/>
                </w:object>
              </w:r>
            </w:hyperlink>
            <w:hyperlink r:id="rId9" w:tooltip="Ctrl+Click to validate and learn more about this digital signature" w:history="1"/>
          </w:p>
        </w:tc>
        <w:tc>
          <w:tcPr>
            <w:tcW w:w="3402" w:type="dxa"/>
          </w:tcPr>
          <w:p w14:paraId="76D2567C" w14:textId="77777777" w:rsidR="005A163A" w:rsidRDefault="005A163A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7E4CD44B" w14:textId="77777777" w:rsidR="005A163A" w:rsidRDefault="005A163A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64794E2F" w14:textId="77777777" w:rsidR="005A163A" w:rsidRDefault="005A163A" w:rsidP="00B8368F">
            <w:pPr>
              <w:spacing w:line="276" w:lineRule="auto"/>
              <w:rPr>
                <w:rFonts w:ascii="GHEA Grapalat" w:hAnsi="GHEA Grapalat"/>
                <w:lang w:bidi="he-IL"/>
              </w:rPr>
            </w:pPr>
            <w:r>
              <w:rPr>
                <w:rFonts w:ascii="GHEA Grapalat" w:hAnsi="GHEA Grapalat" w:cs="Sylfaen"/>
                <w:lang w:bidi="he-IL"/>
              </w:rPr>
              <w:t>Ա</w:t>
            </w:r>
            <w:r w:rsidRPr="00C647D4">
              <w:rPr>
                <w:rFonts w:ascii="GHEA Grapalat" w:hAnsi="GHEA Grapalat" w:cs="Sylfaen"/>
                <w:lang w:bidi="he-IL"/>
              </w:rPr>
              <w:t xml:space="preserve">ՏՈՄ </w:t>
            </w:r>
            <w:r w:rsidRPr="0060340E">
              <w:rPr>
                <w:rFonts w:ascii="GHEA Grapalat" w:hAnsi="GHEA Grapalat" w:cs="Sylfaen"/>
                <w:lang w:bidi="he-IL"/>
              </w:rPr>
              <w:t>ՋԱՆՋՈՒՂԱԶՅԱՆ</w:t>
            </w:r>
          </w:p>
        </w:tc>
      </w:tr>
    </w:tbl>
    <w:p w14:paraId="56D61F58" w14:textId="77777777" w:rsidR="003B548A" w:rsidRPr="00416147" w:rsidRDefault="003B548A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388D699E" w14:textId="77777777" w:rsidR="003B548A" w:rsidRPr="00416147" w:rsidRDefault="003B548A" w:rsidP="008E3E7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700BB72C" w14:textId="54387EB2" w:rsidR="005E1362" w:rsidRDefault="005E1362" w:rsidP="001D7160">
      <w:pPr>
        <w:rPr>
          <w:rFonts w:cs="Sylfaen"/>
          <w:sz w:val="20"/>
          <w:szCs w:val="20"/>
          <w:lang w:val="af-ZA"/>
        </w:rPr>
      </w:pPr>
    </w:p>
    <w:p w14:paraId="1661441D" w14:textId="2C7ED105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18258768" w14:textId="72C86B68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0DCD71B1" w14:textId="1D8F3EFD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1B701F6B" w14:textId="3772057E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2C498067" w14:textId="1ACFA9CA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2BB170F8" w14:textId="5147919D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41AA24BA" w14:textId="374FD49A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0C9BFA68" w14:textId="56E20ED1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395F5A1E" w14:textId="1A1103D9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19CD523C" w14:textId="74D87653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2F4046A3" w14:textId="4FE2B80D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47BBA696" w14:textId="04F2967F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69843CFB" w14:textId="112467E4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3CB24F39" w14:textId="1F961CCB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5CDB5E7A" w14:textId="66C45A24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15C2FF88" w14:textId="74D1BFD2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2DB8DD11" w14:textId="28059FBB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7ACD9881" w14:textId="3C608952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5E80DD63" w14:textId="10BA0D90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4CA704AF" w14:textId="3E6B9055" w:rsidR="003E5A5A" w:rsidRDefault="003E5A5A" w:rsidP="001D7160">
      <w:pPr>
        <w:rPr>
          <w:rFonts w:cs="Sylfaen"/>
          <w:sz w:val="20"/>
          <w:szCs w:val="20"/>
          <w:lang w:val="af-ZA"/>
        </w:rPr>
      </w:pPr>
    </w:p>
    <w:p w14:paraId="39EF4401" w14:textId="77777777" w:rsidR="003E5A5A" w:rsidRPr="00416147" w:rsidRDefault="003E5A5A" w:rsidP="003E5A5A">
      <w:pPr>
        <w:tabs>
          <w:tab w:val="left" w:pos="0"/>
        </w:tabs>
        <w:spacing w:after="0" w:line="276" w:lineRule="auto"/>
        <w:ind w:left="-90"/>
        <w:jc w:val="right"/>
        <w:rPr>
          <w:rFonts w:cs="TimesArmenian"/>
          <w:sz w:val="20"/>
          <w:szCs w:val="20"/>
          <w:lang w:val="af-ZA"/>
        </w:rPr>
      </w:pPr>
      <w:r w:rsidRPr="00416147">
        <w:rPr>
          <w:rFonts w:cs="Sylfaen"/>
          <w:sz w:val="20"/>
          <w:szCs w:val="20"/>
          <w:lang w:val="af-ZA"/>
        </w:rPr>
        <w:t>Հավելված</w:t>
      </w:r>
    </w:p>
    <w:p w14:paraId="2B10B3FB" w14:textId="77777777" w:rsidR="003E5A5A" w:rsidRPr="00416147" w:rsidRDefault="003E5A5A" w:rsidP="003E5A5A">
      <w:pPr>
        <w:tabs>
          <w:tab w:val="left" w:pos="0"/>
        </w:tabs>
        <w:spacing w:after="0" w:line="276" w:lineRule="auto"/>
        <w:ind w:left="-90"/>
        <w:jc w:val="right"/>
        <w:rPr>
          <w:rFonts w:cs="TimesArmenian"/>
          <w:sz w:val="20"/>
          <w:szCs w:val="20"/>
          <w:lang w:val="af-ZA"/>
        </w:rPr>
      </w:pPr>
      <w:r w:rsidRPr="00416147">
        <w:rPr>
          <w:rFonts w:cs="Sylfaen"/>
          <w:sz w:val="20"/>
          <w:szCs w:val="20"/>
          <w:lang w:val="af-ZA"/>
        </w:rPr>
        <w:t>Հաշվեքննիչ պալատի</w:t>
      </w:r>
    </w:p>
    <w:p w14:paraId="3AD56C6A" w14:textId="77777777" w:rsidR="003E5A5A" w:rsidRPr="00416147" w:rsidRDefault="003E5A5A" w:rsidP="003E5A5A">
      <w:pPr>
        <w:tabs>
          <w:tab w:val="left" w:pos="0"/>
        </w:tabs>
        <w:spacing w:after="0" w:line="276" w:lineRule="auto"/>
        <w:ind w:left="-90"/>
        <w:jc w:val="right"/>
        <w:rPr>
          <w:rFonts w:cs="TimesArmenian"/>
          <w:sz w:val="20"/>
          <w:szCs w:val="20"/>
          <w:lang w:val="af-ZA"/>
        </w:rPr>
      </w:pPr>
      <w:r w:rsidRPr="00416147">
        <w:rPr>
          <w:rFonts w:cs="TimesArmenian"/>
          <w:sz w:val="20"/>
          <w:szCs w:val="20"/>
          <w:lang w:val="af-ZA"/>
        </w:rPr>
        <w:t>202</w:t>
      </w:r>
      <w:r w:rsidRPr="00416147">
        <w:rPr>
          <w:rFonts w:cs="TimesArmenian"/>
          <w:sz w:val="20"/>
          <w:szCs w:val="20"/>
          <w:lang w:val="hy-AM"/>
        </w:rPr>
        <w:t>4</w:t>
      </w:r>
      <w:r w:rsidRPr="00416147">
        <w:rPr>
          <w:rFonts w:cs="TimesArmenian"/>
          <w:sz w:val="20"/>
          <w:szCs w:val="20"/>
          <w:lang w:val="af-ZA"/>
        </w:rPr>
        <w:t xml:space="preserve"> </w:t>
      </w:r>
      <w:r w:rsidRPr="00416147">
        <w:rPr>
          <w:rFonts w:cs="Sylfaen"/>
          <w:sz w:val="20"/>
          <w:szCs w:val="20"/>
          <w:lang w:val="af-ZA"/>
        </w:rPr>
        <w:t xml:space="preserve">թվականի </w:t>
      </w:r>
      <w:r>
        <w:rPr>
          <w:rFonts w:cs="Sylfaen"/>
          <w:sz w:val="20"/>
          <w:szCs w:val="20"/>
          <w:lang w:val="af-ZA"/>
        </w:rPr>
        <w:t>սեպտեմբերի 9</w:t>
      </w:r>
      <w:r w:rsidRPr="00416147">
        <w:rPr>
          <w:rFonts w:cs="TimesArmenian"/>
          <w:sz w:val="20"/>
          <w:szCs w:val="20"/>
          <w:lang w:val="af-ZA"/>
        </w:rPr>
        <w:t xml:space="preserve">-ի </w:t>
      </w:r>
      <w:r w:rsidRPr="00416147">
        <w:rPr>
          <w:rFonts w:cs="Sylfaen"/>
          <w:sz w:val="20"/>
          <w:szCs w:val="20"/>
          <w:lang w:val="af-ZA"/>
        </w:rPr>
        <w:t>թիվ</w:t>
      </w:r>
      <w:r>
        <w:rPr>
          <w:rFonts w:cs="Sylfaen"/>
          <w:sz w:val="20"/>
          <w:szCs w:val="20"/>
          <w:lang w:val="af-ZA"/>
        </w:rPr>
        <w:t xml:space="preserve"> 91</w:t>
      </w:r>
      <w:r w:rsidRPr="00416147">
        <w:rPr>
          <w:rFonts w:cs="TimesArmenian"/>
          <w:sz w:val="20"/>
          <w:szCs w:val="20"/>
          <w:lang w:val="af-ZA"/>
        </w:rPr>
        <w:t xml:space="preserve">-Լ </w:t>
      </w:r>
      <w:r w:rsidRPr="00416147">
        <w:rPr>
          <w:rFonts w:cs="Sylfaen"/>
          <w:sz w:val="20"/>
          <w:szCs w:val="20"/>
          <w:lang w:val="af-ZA"/>
        </w:rPr>
        <w:t>որոշման</w:t>
      </w:r>
    </w:p>
    <w:p w14:paraId="28ACFC3F" w14:textId="77777777" w:rsidR="003E5A5A" w:rsidRPr="00416147" w:rsidRDefault="003E5A5A" w:rsidP="003E5A5A">
      <w:pPr>
        <w:pStyle w:val="Default"/>
        <w:tabs>
          <w:tab w:val="left" w:pos="567"/>
        </w:tabs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bookmarkStart w:id="2" w:name="_GoBack"/>
      <w:bookmarkEnd w:id="2"/>
    </w:p>
    <w:p w14:paraId="0F55B948" w14:textId="77777777" w:rsidR="003E5A5A" w:rsidRPr="00416147" w:rsidRDefault="003E5A5A" w:rsidP="003E5A5A">
      <w:pPr>
        <w:pStyle w:val="Default"/>
        <w:tabs>
          <w:tab w:val="left" w:pos="567"/>
        </w:tabs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66B1C211" w14:textId="77777777" w:rsidR="003E5A5A" w:rsidRPr="00416147" w:rsidRDefault="003E5A5A" w:rsidP="003E5A5A">
      <w:pPr>
        <w:pStyle w:val="Default"/>
        <w:tabs>
          <w:tab w:val="left" w:pos="567"/>
        </w:tabs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416147">
        <w:rPr>
          <w:rFonts w:ascii="GHEA Grapalat" w:hAnsi="GHEA Grapalat" w:cs="Times New Roman"/>
          <w:b/>
          <w:sz w:val="24"/>
          <w:szCs w:val="24"/>
          <w:lang w:val="hy-AM"/>
        </w:rPr>
        <w:t>ԿԱՐԳ</w:t>
      </w:r>
    </w:p>
    <w:p w14:paraId="4C6EE7E2" w14:textId="77777777" w:rsidR="003E5A5A" w:rsidRPr="00416147" w:rsidRDefault="003E5A5A" w:rsidP="003E5A5A">
      <w:pPr>
        <w:pStyle w:val="Default"/>
        <w:tabs>
          <w:tab w:val="left" w:pos="567"/>
        </w:tabs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416147">
        <w:rPr>
          <w:rFonts w:ascii="GHEA Grapalat" w:hAnsi="GHEA Grapalat" w:cs="Times New Roman"/>
          <w:b/>
          <w:sz w:val="24"/>
          <w:szCs w:val="24"/>
          <w:lang w:val="hy-AM"/>
        </w:rPr>
        <w:t xml:space="preserve">ՀԱՇՎԵՔՆՆԻՉ ՊԱԼԱՏԻ ԳՈՐԾՈՒՆԵՈՒԹՅԱՆ ԾՐԱԳԻՐԸ ԿԱԶՄԵԼՈՒ </w:t>
      </w:r>
    </w:p>
    <w:p w14:paraId="55C29D8B" w14:textId="77777777" w:rsidR="003E5A5A" w:rsidRPr="00416147" w:rsidRDefault="003E5A5A" w:rsidP="003E5A5A">
      <w:pPr>
        <w:spacing w:after="0" w:line="276" w:lineRule="auto"/>
        <w:ind w:left="360" w:hanging="360"/>
        <w:jc w:val="both"/>
        <w:rPr>
          <w:lang w:val="hy-AM"/>
        </w:rPr>
      </w:pPr>
    </w:p>
    <w:p w14:paraId="2622D289" w14:textId="77777777" w:rsidR="003E5A5A" w:rsidRPr="00416147" w:rsidRDefault="003E5A5A" w:rsidP="003E5A5A">
      <w:pPr>
        <w:pStyle w:val="Heading1"/>
      </w:pPr>
      <w:r w:rsidRPr="00416147">
        <w:t>1</w:t>
      </w:r>
      <w:r w:rsidRPr="00416147">
        <w:rPr>
          <w:rFonts w:ascii="Cambria Math" w:hAnsi="Cambria Math" w:cs="Cambria Math"/>
        </w:rPr>
        <w:t>․</w:t>
      </w:r>
      <w:r w:rsidRPr="004A586B">
        <w:t xml:space="preserve"> </w:t>
      </w:r>
      <w:r w:rsidRPr="00416147">
        <w:t>ԸՆԴՀԱՆՈՒՐ ԴՐՈՒՅԹՆԵՐ</w:t>
      </w:r>
    </w:p>
    <w:p w14:paraId="20F3A0F9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Սույն իրավական ակտով սահմանվում է Հաշվեքննիչ պալատի գործունեության՝ արտաքին պետական հաշվեքննության տարեկան ծրագիրը (այսուհետև՝ Ծրագիր) կազմելու կարգը, ինչպես նաև դրա շրջանակում Հաշվեքննիչ պալատի գործունեության հետ կապված այլ հարաբերություններ։</w:t>
      </w:r>
    </w:p>
    <w:p w14:paraId="3D7323B5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 xml:space="preserve">Ծրագրի նախագիծը մշակելու գործընթացը բաղկացած է երկու փուլից՝ </w:t>
      </w:r>
      <w:r w:rsidRPr="00416147">
        <w:rPr>
          <w:lang w:bidi="he-IL"/>
        </w:rPr>
        <w:t>ա</w:t>
      </w:r>
      <w:r w:rsidRPr="00416147">
        <w:t xml:space="preserve">ռաջիկա երեք տարիների համար </w:t>
      </w:r>
      <w:r w:rsidRPr="00416147">
        <w:rPr>
          <w:lang w:bidi="he-IL"/>
        </w:rPr>
        <w:t>միջնաժամկետ առաջնահերթությունների և</w:t>
      </w:r>
      <w:r w:rsidRPr="00416147">
        <w:rPr>
          <w:rFonts w:eastAsia="Times New Roman" w:cs="Sylfaen"/>
          <w:lang w:bidi="he-IL"/>
        </w:rPr>
        <w:t xml:space="preserve"> առաջիկա տարվա </w:t>
      </w:r>
      <w:r w:rsidRPr="00416147">
        <w:t>Ծրագրի նախագծերի մշակում։ Ծրագիրը նախագծվում է արտաքին պետական հաշվեքննության միջնաժամկետ (եռամյա ժամանակահատված) առաջնահերթություն</w:t>
      </w:r>
      <w:r w:rsidRPr="00416147">
        <w:softHyphen/>
        <w:t>ների հիման վրա։</w:t>
      </w:r>
    </w:p>
    <w:p w14:paraId="052DB9E3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Ծրագրի նախագիծը մշակելու աշխատանքները կազմակերպում է Հաշվեքննիչ պալատի պատասխանատու ստորաբաժանումը (այսուհետև՝ Ստորաբաժանում)՝ սույն իրավական ակտով նախատեսված կարգով և ժամկետներում։</w:t>
      </w:r>
    </w:p>
    <w:p w14:paraId="4640F8DB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Ծրագրի նախագծման և իրականացման մշտադիտարկման գործընթացները փաստաթղթավորվում են Հաշվեքննիչ պալատի կողմից սահմանված կարգով։</w:t>
      </w:r>
    </w:p>
    <w:p w14:paraId="4597B6A9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Սույն կարգում օգտագործվող հասկացությունները կիրառվում են «Հաշվեքննիչ պալատի մասին» օրենքի իմաստով։</w:t>
      </w:r>
    </w:p>
    <w:p w14:paraId="684747B6" w14:textId="77777777" w:rsidR="003E5A5A" w:rsidRPr="00416147" w:rsidRDefault="003E5A5A" w:rsidP="003E5A5A">
      <w:pPr>
        <w:pStyle w:val="Heading1"/>
      </w:pPr>
    </w:p>
    <w:p w14:paraId="1196F48D" w14:textId="77777777" w:rsidR="003E5A5A" w:rsidRPr="00416147" w:rsidRDefault="003E5A5A" w:rsidP="003E5A5A">
      <w:pPr>
        <w:pStyle w:val="Heading1"/>
      </w:pPr>
      <w:r w:rsidRPr="00416147">
        <w:t>2</w:t>
      </w:r>
      <w:r w:rsidRPr="00416147">
        <w:rPr>
          <w:rFonts w:ascii="Cambria Math" w:eastAsia="MS Mincho" w:hAnsi="Cambria Math" w:cs="Cambria Math"/>
        </w:rPr>
        <w:t>․</w:t>
      </w:r>
      <w:r w:rsidRPr="00416147">
        <w:t xml:space="preserve"> ՄԻՋՆԱԺԱՄԿԵՏ ԱՌԱՋՆԱՀԵՐԹՈՒԹՅՈՒՆՆԵՐԸ</w:t>
      </w:r>
    </w:p>
    <w:p w14:paraId="67307A1F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rPr>
          <w:shd w:val="clear" w:color="auto" w:fill="FFFFFF"/>
        </w:rPr>
        <w:t>Միջնաժամկետ առաջնահերթությունները սահմանվում են օրենսդրությամբ, կառավարության և համայնքների գործունեության ծրագրերով, ինչպես նաև ռազմավարական (հայեցակարգային) փաստաթղթերով և պետական բյուջեներով նախատեսված պետական քաղաքականության միջոցառումների՝ հանրային սեփականության (ունեցվածքի) և (կամ) վերջնական շահառուների վրա ունեցած ազդեցության գնահատականների հիման վրա։</w:t>
      </w:r>
    </w:p>
    <w:p w14:paraId="49C9DA3E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</w:pPr>
      <w:r w:rsidRPr="00416147">
        <w:t>Միջնաժամկետ առաջնահերթությունների նախագծի մշակում</w:t>
      </w:r>
      <w:r w:rsidRPr="0033197F">
        <w:t>ը</w:t>
      </w:r>
      <w:r w:rsidRPr="00416147">
        <w:t xml:space="preserve"> սկսվում է յուրաքանչյուր տարվա փետրվարի 1-ին։</w:t>
      </w:r>
    </w:p>
    <w:p w14:paraId="5FC65456" w14:textId="77777777" w:rsidR="003E5A5A" w:rsidRPr="004A586B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rPr>
          <w:lang w:bidi="he-IL"/>
        </w:rPr>
        <w:t>Միջնաժամկետ առաջնահերթությունները մշակվում են օրենսդրությամբ, կառավարության գործունեության ծրագրերի, պետական միջնաժամկետ ծախսերի ծրագրերի հիման վրա՝ պետական քաղաքականությունների ռազմավարական փաստաթղթերով արձանագրված հիմնախնդիրներին և գերակայություններին համահունչ:</w:t>
      </w:r>
    </w:p>
    <w:p w14:paraId="569E62F3" w14:textId="77777777" w:rsidR="003E5A5A" w:rsidRPr="004A586B" w:rsidRDefault="003E5A5A" w:rsidP="003E5A5A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lang w:val="hy-AM" w:bidi="he-IL"/>
        </w:rPr>
      </w:pPr>
      <w:r w:rsidRPr="004A586B">
        <w:rPr>
          <w:lang w:val="hy-AM" w:bidi="he-IL"/>
        </w:rPr>
        <w:t>Միջնաժամկետ առաջնահերթությունների նախագծի մշակմանը նախորդող տարիներին Հաշվեքննիչ պալատի հաստատած այն միջնաժամկետ առաջնահերթություններն ու դրանց շրջանակում սահմանված հաշվեքննության այն ուղղությունները, որոնք ընթացիկ տարում</w:t>
      </w:r>
      <w:r w:rsidRPr="004A586B">
        <w:rPr>
          <w:rFonts w:ascii="Calibri" w:hAnsi="Calibri" w:cs="Calibri"/>
          <w:lang w:val="hy-AM" w:bidi="he-IL"/>
        </w:rPr>
        <w:t> </w:t>
      </w:r>
      <w:r w:rsidRPr="004A586B">
        <w:rPr>
          <w:lang w:val="hy-AM" w:bidi="he-IL"/>
        </w:rPr>
        <w:t>չեն</w:t>
      </w:r>
      <w:r w:rsidRPr="004A586B">
        <w:rPr>
          <w:rFonts w:ascii="Calibri" w:hAnsi="Calibri" w:cs="Calibri"/>
          <w:lang w:val="hy-AM" w:bidi="he-IL"/>
        </w:rPr>
        <w:t> </w:t>
      </w:r>
      <w:r w:rsidRPr="004A586B">
        <w:rPr>
          <w:lang w:val="hy-AM" w:bidi="he-IL"/>
        </w:rPr>
        <w:t>կորցրել իրենց արդիականությունը, էականությունը, հավելյալ արժեք ստեղծելու ներուժը և հաշվեքննելիությունը, ներառվում են միջնաժամկետ առաջնահերթությունների նախագծում:</w:t>
      </w:r>
    </w:p>
    <w:p w14:paraId="1546D9D9" w14:textId="77777777" w:rsidR="003E5A5A" w:rsidRPr="004A586B" w:rsidRDefault="003E5A5A" w:rsidP="003E5A5A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lang w:val="hy-AM" w:bidi="he-IL"/>
        </w:rPr>
      </w:pPr>
      <w:r w:rsidRPr="003D772E">
        <w:rPr>
          <w:lang w:val="hy-AM" w:bidi="he-IL"/>
        </w:rPr>
        <w:t>Ընթացիկ տարվա</w:t>
      </w:r>
      <w:r w:rsidRPr="004A586B">
        <w:rPr>
          <w:lang w:val="hy-AM" w:bidi="he-IL"/>
        </w:rPr>
        <w:t xml:space="preserve"> և դրան նախորդող տարիների</w:t>
      </w:r>
      <w:r w:rsidRPr="003D772E">
        <w:rPr>
          <w:lang w:val="hy-AM" w:bidi="he-IL"/>
        </w:rPr>
        <w:t>՝ միջնաժամկետ առաջնահերթությունների հիման վրա հաստատված</w:t>
      </w:r>
      <w:r w:rsidRPr="004A586B">
        <w:rPr>
          <w:lang w:val="hy-AM" w:bidi="he-IL"/>
        </w:rPr>
        <w:t xml:space="preserve"> Ծրագրերի այն ծրագրային կետերը, որոնց հաշվեքննության արդյունքում ներկայացված առաջարկությունները չեն կորցրել իրենց արդիականությունը և հավելյալ արժեք ստեղծելու ներուժը, ներառվում են միջնաժամկետ առաջնահերթությունների նախագծում՝ որպես միջնաժամկետ հորիզոնում հետհսկողության ենթակա ուղղություններ:</w:t>
      </w:r>
    </w:p>
    <w:p w14:paraId="5A201DF1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Ստորաբաժանումը, սույն կարգի Ձև 1</w:t>
      </w:r>
      <w:r w:rsidRPr="004A586B">
        <w:t>-ի</w:t>
      </w:r>
      <w:r w:rsidRPr="00416147">
        <w:t xml:space="preserve"> ձևաչափով, մշակում է միջնաժամկետ առաջնահերթությունների նախագիծը և դրա վերաբերյալ կարծիքներ ստանալու նպատակով՝ մինչև տվյալ տարվա մայիսի 1-ը կազմակերպում է նախագծի շրջանառումը Հաշվեքննիչ պալատում։</w:t>
      </w:r>
    </w:p>
    <w:p w14:paraId="1D2984AA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bookmarkStart w:id="3" w:name="_Hlk172815650"/>
      <w:r w:rsidRPr="00416147">
        <w:t xml:space="preserve">Ստորաբաժանումն ամփոփում է ստացված առաջարկները, և մինչև տվյալ տարվա </w:t>
      </w:r>
      <w:r w:rsidRPr="004A586B">
        <w:t>մայ</w:t>
      </w:r>
      <w:r w:rsidRPr="00416147">
        <w:t>իսի 1</w:t>
      </w:r>
      <w:r w:rsidRPr="004A586B">
        <w:t>5</w:t>
      </w:r>
      <w:r w:rsidRPr="00416147">
        <w:t>-ը, միջնաժամկետ առաջնահերթությունների լրամշակված նախագիծն արտաքին շահառուներին հաղորդակցելու նպատակով ներկայացնում է Հաշվեքննիչ պալատի նախագահին։</w:t>
      </w:r>
    </w:p>
    <w:p w14:paraId="5CD326A1" w14:textId="77777777" w:rsidR="003E5A5A" w:rsidRPr="00135F7B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bookmarkStart w:id="4" w:name="_Hlk172816080"/>
      <w:bookmarkEnd w:id="3"/>
      <w:r w:rsidRPr="00416147">
        <w:t xml:space="preserve">Ըստ անհրաժեշտության՝ նախագծի լրացուցիչ քննարկումներ կազմակերպելուց հետո, մինչև տվյալ տարվա հունիսի </w:t>
      </w:r>
      <w:r w:rsidRPr="004A586B">
        <w:t>5</w:t>
      </w:r>
      <w:r w:rsidRPr="00416147">
        <w:t>-ը, միջնաժամկետ առաջնահերթությունների նախագիծը ներկայացվում է Ազգային ժողով, կառավարություն և հանրային քննարկման՝ հայցելով մեկամսյա ժամկետում փաստաթղթի առնչությամբ կարծիքներ։</w:t>
      </w:r>
    </w:p>
    <w:p w14:paraId="2B7DC329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A586B">
        <w:t xml:space="preserve">Սույն կարգի 11-րդ և 13-րդ կետերում նշված կարծիքը Հաշվեքննիչ պալատին ներկայացվում է </w:t>
      </w:r>
      <w:r w:rsidRPr="00416147">
        <w:t>«</w:t>
      </w:r>
      <w:r w:rsidRPr="004A586B">
        <w:t>Հաշվեքննիչ պալատի գործունեության ծրագրային կետերի և հաշվեքննության միջնաժամկետ առաջնահերթության առաջարկի հիմնավորման</w:t>
      </w:r>
      <w:r w:rsidRPr="00416147">
        <w:t>»</w:t>
      </w:r>
      <w:r w:rsidRPr="004A586B">
        <w:t xml:space="preserve"> </w:t>
      </w:r>
      <w:r w:rsidRPr="00416147">
        <w:t xml:space="preserve">ձևով </w:t>
      </w:r>
      <w:r w:rsidRPr="004A586B">
        <w:t>(</w:t>
      </w:r>
      <w:r w:rsidRPr="00416147">
        <w:t>Ձև 3</w:t>
      </w:r>
      <w:r w:rsidRPr="004A586B">
        <w:t>), որը միջնաժամկետ առաջնահերթությունների նախագծի հետ ներկայացվում է համապատասխան հասցեատերերին։</w:t>
      </w:r>
    </w:p>
    <w:bookmarkEnd w:id="4"/>
    <w:p w14:paraId="12B4B91D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Ստորաբաժանումը, կարծիքները ստանալուց հետո, ըստ անհրաժեշտության</w:t>
      </w:r>
      <w:r w:rsidRPr="004A586B">
        <w:t>,</w:t>
      </w:r>
      <w:r w:rsidRPr="00416147">
        <w:t xml:space="preserve"> լրամշակում է միջնաժամկետ առաջնահերթությունների նախագիծը</w:t>
      </w:r>
      <w:r w:rsidRPr="004A586B">
        <w:t>՝ Ձև 3-ով նախատեսված չափանիշներին համապատասխան</w:t>
      </w:r>
      <w:r w:rsidRPr="00416147">
        <w:t xml:space="preserve">, և մինչև տվյալ տարվա </w:t>
      </w:r>
      <w:r w:rsidRPr="004A586B">
        <w:t>հուլիսի</w:t>
      </w:r>
      <w:r w:rsidRPr="00416147">
        <w:t xml:space="preserve"> 1</w:t>
      </w:r>
      <w:r w:rsidRPr="004A586B">
        <w:t>5</w:t>
      </w:r>
      <w:r w:rsidRPr="00416147">
        <w:t>-ը, Հաշվեքննիչ պալատի նախագահին է ներկայացնում «Արտաքին պետական հաշվեքննության մ</w:t>
      </w:r>
      <w:r w:rsidRPr="00416147">
        <w:rPr>
          <w:rFonts w:eastAsia="Times New Roman" w:cs="Sylfaen"/>
          <w:lang w:bidi="he-IL"/>
        </w:rPr>
        <w:t>իջնաժամկետ առաջնահերթությունները հաստատելու մասին</w:t>
      </w:r>
      <w:r w:rsidRPr="00416147">
        <w:t>» Հաշվեքննիչ պալատի որոշման նախագիծը։</w:t>
      </w:r>
    </w:p>
    <w:p w14:paraId="3A2E505F" w14:textId="77777777" w:rsidR="003E5A5A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 xml:space="preserve"> Հաշվեքննիչ պալատը, մինչև տվյալ տարվա </w:t>
      </w:r>
      <w:r w:rsidRPr="004A586B">
        <w:t>հուլիսի 20</w:t>
      </w:r>
      <w:r w:rsidRPr="00416147">
        <w:t xml:space="preserve">-ը, հաստատում է արտաքին պետական հաշվեքննության միջնաժամկետ առաջնահերթությունները։ </w:t>
      </w:r>
    </w:p>
    <w:p w14:paraId="1DCE2741" w14:textId="77777777" w:rsidR="003E5A5A" w:rsidRPr="0033197F" w:rsidRDefault="003E5A5A" w:rsidP="003E5A5A">
      <w:pPr>
        <w:tabs>
          <w:tab w:val="left" w:pos="993"/>
        </w:tabs>
        <w:spacing w:after="0" w:line="276" w:lineRule="auto"/>
        <w:rPr>
          <w:lang w:val="hy-AM"/>
        </w:rPr>
      </w:pPr>
    </w:p>
    <w:p w14:paraId="08C49AD2" w14:textId="77777777" w:rsidR="003E5A5A" w:rsidRPr="00416147" w:rsidRDefault="003E5A5A" w:rsidP="003E5A5A">
      <w:pPr>
        <w:pStyle w:val="Heading1"/>
      </w:pPr>
      <w:r w:rsidRPr="00416147">
        <w:t>3</w:t>
      </w:r>
      <w:r w:rsidRPr="00416147">
        <w:rPr>
          <w:rFonts w:ascii="Cambria Math" w:eastAsia="MS Mincho" w:hAnsi="Cambria Math" w:cs="Cambria Math"/>
        </w:rPr>
        <w:t>․</w:t>
      </w:r>
      <w:r w:rsidRPr="00416147">
        <w:t xml:space="preserve"> ԾՐԱԳՐԻ ԿԱՌՈՒՑՎԱԾՔԸ, ԾՐԱԳԻՐԸ ՀԱՍՏԱՏԵԼՈՒ ԸՆԹԱՑԱԿԱՐԳԸ</w:t>
      </w:r>
    </w:p>
    <w:p w14:paraId="79741239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Ծրագիրը բաղկացած է երեք բաժիններից և ներառում է Հաշվեքննիչ պալատի գործունեության նպատակի իրագործման համար սույն կարգով նախատեսված հետևյալ ծրագրային դրույթները՝</w:t>
      </w:r>
    </w:p>
    <w:p w14:paraId="74EC0DCA" w14:textId="77777777" w:rsidR="003E5A5A" w:rsidRPr="00416147" w:rsidRDefault="003E5A5A" w:rsidP="003E5A5A">
      <w:pPr>
        <w:pStyle w:val="ListParagraph"/>
        <w:numPr>
          <w:ilvl w:val="1"/>
          <w:numId w:val="17"/>
        </w:numPr>
        <w:tabs>
          <w:tab w:val="left" w:pos="993"/>
        </w:tabs>
        <w:spacing w:after="0" w:line="276" w:lineRule="auto"/>
        <w:ind w:left="0" w:firstLine="567"/>
      </w:pPr>
      <w:r w:rsidRPr="00416147">
        <w:t>1-ին բաժին՝ պետական բյուջեի ֆինանսական հաշվեքննությունը և թեմատիկ հաշվեքննությունները,</w:t>
      </w:r>
    </w:p>
    <w:p w14:paraId="1ED9EC9B" w14:textId="77777777" w:rsidR="003E5A5A" w:rsidRPr="00416147" w:rsidRDefault="003E5A5A" w:rsidP="003E5A5A">
      <w:pPr>
        <w:pStyle w:val="ListParagraph"/>
        <w:numPr>
          <w:ilvl w:val="1"/>
          <w:numId w:val="17"/>
        </w:numPr>
        <w:tabs>
          <w:tab w:val="left" w:pos="993"/>
        </w:tabs>
        <w:spacing w:after="0" w:line="276" w:lineRule="auto"/>
        <w:ind w:left="0" w:firstLine="567"/>
      </w:pPr>
      <w:r w:rsidRPr="00416147">
        <w:t>2-րդ բաժին՝ միջազգային համաձայնագրերով ստանձնած պարտավորությունների կատարմանն ուղղված միջոցառումները,</w:t>
      </w:r>
    </w:p>
    <w:p w14:paraId="2956B147" w14:textId="77777777" w:rsidR="003E5A5A" w:rsidRPr="00416147" w:rsidRDefault="003E5A5A" w:rsidP="003E5A5A">
      <w:pPr>
        <w:pStyle w:val="ListParagraph"/>
        <w:numPr>
          <w:ilvl w:val="1"/>
          <w:numId w:val="17"/>
        </w:numPr>
        <w:tabs>
          <w:tab w:val="left" w:pos="993"/>
        </w:tabs>
        <w:spacing w:after="0" w:line="276" w:lineRule="auto"/>
        <w:ind w:left="0" w:firstLine="567"/>
      </w:pPr>
      <w:r w:rsidRPr="00416147">
        <w:t>3-րդ բաժին՝ Հաշվեքննիչ պալատի ռազմավարական զարգացման ծրագրով նախատեսված միջոցառումները։</w:t>
      </w:r>
    </w:p>
    <w:p w14:paraId="7DDBC8C1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Ծրագրում թեմատիկ հաշվեքննությունները նախատեսվում են հաշվի առնելով հետևյալ պայմանները ՝</w:t>
      </w:r>
    </w:p>
    <w:p w14:paraId="73B19DC1" w14:textId="77777777" w:rsidR="003E5A5A" w:rsidRPr="00416147" w:rsidRDefault="003E5A5A" w:rsidP="003E5A5A">
      <w:pPr>
        <w:pStyle w:val="ListParagraph"/>
        <w:numPr>
          <w:ilvl w:val="1"/>
          <w:numId w:val="18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Հաշվեքննիչ պալատի գործունեության իրավական հիմքերը,</w:t>
      </w:r>
    </w:p>
    <w:p w14:paraId="7FFDE8E0" w14:textId="77777777" w:rsidR="003E5A5A" w:rsidRPr="00416147" w:rsidRDefault="003E5A5A" w:rsidP="003E5A5A">
      <w:pPr>
        <w:pStyle w:val="ListParagraph"/>
        <w:numPr>
          <w:ilvl w:val="1"/>
          <w:numId w:val="18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Հաշվեքննիչ պալատի գործունեությունից սահմանված արդյունքների ստացման օրենսդրական ժամկետները,</w:t>
      </w:r>
    </w:p>
    <w:p w14:paraId="4ADBCBA4" w14:textId="77777777" w:rsidR="003E5A5A" w:rsidRPr="00416147" w:rsidRDefault="003E5A5A" w:rsidP="003E5A5A">
      <w:pPr>
        <w:pStyle w:val="ListParagraph"/>
        <w:numPr>
          <w:ilvl w:val="1"/>
          <w:numId w:val="18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Հաշվեքննիչ պա</w:t>
      </w:r>
      <w:r w:rsidRPr="0033197F">
        <w:t>լա</w:t>
      </w:r>
      <w:r w:rsidRPr="00416147">
        <w:t>տի կարողությունները՝ ներառյալ ֆինանսական, ժամանակային և մարդկային ռեսուրսները, տեխնոլոգիաները, տեխնիկական հագեցվածությունը և այլն,</w:t>
      </w:r>
    </w:p>
    <w:p w14:paraId="6D202C91" w14:textId="77777777" w:rsidR="003E5A5A" w:rsidRPr="00416147" w:rsidRDefault="003E5A5A" w:rsidP="003E5A5A">
      <w:pPr>
        <w:pStyle w:val="ListParagraph"/>
        <w:numPr>
          <w:ilvl w:val="1"/>
          <w:numId w:val="18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Հաշվեքննիչ պալատի ծառայողների վարքագծի (ներառյալ՝ անկախության) կանոնների պահպանում,</w:t>
      </w:r>
    </w:p>
    <w:p w14:paraId="065A964A" w14:textId="77777777" w:rsidR="003E5A5A" w:rsidRPr="00416147" w:rsidRDefault="003E5A5A" w:rsidP="003E5A5A">
      <w:pPr>
        <w:pStyle w:val="ListParagraph"/>
        <w:numPr>
          <w:ilvl w:val="1"/>
          <w:numId w:val="18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հաշվեքննության օբյեկտի կողմից հաշվեքննությունը սահմանափակելու առերևույթ տեղեկատվության առկայության հանգամանքը։</w:t>
      </w:r>
    </w:p>
    <w:p w14:paraId="5C443FAA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 xml:space="preserve">Ստորաբաժանումը, միջնաժամկետ առաջնահերթությունների հիման վրա, մինչև տվյալ տարվա </w:t>
      </w:r>
      <w:r w:rsidRPr="004A586B">
        <w:t xml:space="preserve">օգոստոսի </w:t>
      </w:r>
      <w:r w:rsidRPr="00416147">
        <w:t>1-ը, սույն կարգի Ձև 2</w:t>
      </w:r>
      <w:r w:rsidRPr="004A586B">
        <w:t>-ի</w:t>
      </w:r>
      <w:r w:rsidRPr="00416147">
        <w:t xml:space="preserve"> ձևաչափով, մշակում է Ծրագրի նախագիծը և շրջանառում Հաշվեքննիչ պալատում։</w:t>
      </w:r>
    </w:p>
    <w:p w14:paraId="414B5219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A586B">
        <w:t xml:space="preserve">Հաշվեքննիչ պալատի պաշտոնատար անձանց և կառուցվածքային ստորաբաժանումների կողմից </w:t>
      </w:r>
      <w:r w:rsidRPr="00416147">
        <w:t>Ծրագրի նախագծի վերաբերյալ կարծիքները ներկայացվում են Ստորաբաժանմանը՝ մեկ</w:t>
      </w:r>
      <w:r w:rsidRPr="004A586B">
        <w:t>ամսյա</w:t>
      </w:r>
      <w:r w:rsidRPr="00416147">
        <w:t xml:space="preserve"> ժամկետում։</w:t>
      </w:r>
    </w:p>
    <w:p w14:paraId="01994DCC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 xml:space="preserve">Ստորաբաժանումը, ստացված կարծիքների հիման վրա, մինչև տվյալ տարվա </w:t>
      </w:r>
      <w:r w:rsidRPr="00802AB0">
        <w:t>հոկտեմբերի</w:t>
      </w:r>
      <w:r w:rsidRPr="00802AB0">
        <w:rPr>
          <w:u w:val="single"/>
          <w:vertAlign w:val="superscript"/>
        </w:rPr>
        <w:t>ուղղ.</w:t>
      </w:r>
      <w:r w:rsidRPr="00416147">
        <w:t xml:space="preserve"> 1</w:t>
      </w:r>
      <w:r w:rsidRPr="00416147">
        <w:noBreakHyphen/>
      </w:r>
      <w:r w:rsidRPr="0033197F">
        <w:t>ն</w:t>
      </w:r>
      <w:r w:rsidRPr="00416147">
        <w:t>, ըստ անհրաժեշտության՝ Ծրագրի լրամշակված նախագիծը արտաքին շահառուներին հաղորդակցելու նպատակով ներկայացնում է Հաշվեքննիչ պալատի նախագահին։</w:t>
      </w:r>
    </w:p>
    <w:p w14:paraId="714A2DE0" w14:textId="77777777" w:rsidR="003E5A5A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Ըստ անհրաժեշտության՝ նախագծի լրացուցիչ քննարկումներ կազմակերպելուց հետո, մինչև տվյալ տարվա հոկտեմբերի 10-ը, Ծրագրի նախագիծը ներկայացվում է Ազգային ժողովին, կառավարությանը և հանրային քննարկման՝ հայցելով մեկամսյա ժամկետում փաստաթղթի առնչությամբ կարծիքներ։</w:t>
      </w:r>
    </w:p>
    <w:p w14:paraId="45CECF01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B016FC">
        <w:t>Սույ</w:t>
      </w:r>
      <w:r w:rsidRPr="004A586B">
        <w:t>ն</w:t>
      </w:r>
      <w:r w:rsidRPr="00B016FC">
        <w:t xml:space="preserve"> կարգի 20-րդ և </w:t>
      </w:r>
      <w:r w:rsidRPr="004A586B">
        <w:t>22</w:t>
      </w:r>
      <w:r w:rsidRPr="00B016FC">
        <w:t xml:space="preserve">-րդ կետերում նշված կարծիքը Հաշվեքննիչ պալատին ներկայացվում է </w:t>
      </w:r>
      <w:r w:rsidRPr="00416147">
        <w:t>Ձև 3</w:t>
      </w:r>
      <w:r w:rsidRPr="004A586B">
        <w:t>-ով</w:t>
      </w:r>
      <w:r w:rsidRPr="00B016FC">
        <w:t xml:space="preserve">, որը </w:t>
      </w:r>
      <w:r w:rsidRPr="004A586B">
        <w:t>Ծրագրի</w:t>
      </w:r>
      <w:r w:rsidRPr="00B016FC">
        <w:t xml:space="preserve"> նախագծի հետ ներկայացվում է համապատասխան հասցեատերերին։</w:t>
      </w:r>
    </w:p>
    <w:p w14:paraId="29E83CA5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Ստորաբաժանումը, կարծիքներն ստանալուց հետո, ըստ անհրաժեշտության</w:t>
      </w:r>
      <w:r w:rsidRPr="004A586B">
        <w:t>,</w:t>
      </w:r>
      <w:r w:rsidRPr="00416147">
        <w:t xml:space="preserve"> լրամշակում է Ծրագրի նախագիծը</w:t>
      </w:r>
      <w:r w:rsidRPr="004A586B">
        <w:t>՝ Ձև 3-ով նախատեսված չափանիշներին համապատասխան</w:t>
      </w:r>
      <w:r w:rsidRPr="00416147">
        <w:t xml:space="preserve">, և մինչև տվյալ տարվա նոյեմբերի 20-ը, Հաշվեքննիչ պալատի նախագահին է ներկայացնում </w:t>
      </w:r>
      <w:bookmarkStart w:id="5" w:name="_Hlk174023749"/>
      <w:r w:rsidRPr="00416147">
        <w:t>«</w:t>
      </w:r>
      <w:bookmarkEnd w:id="5"/>
      <w:r w:rsidRPr="00416147">
        <w:t>Հաշվեքննիչ պալատի գործունեության տարեկան ծրագիրը</w:t>
      </w:r>
      <w:r w:rsidRPr="004A586B">
        <w:t xml:space="preserve"> </w:t>
      </w:r>
      <w:r w:rsidRPr="00416147">
        <w:rPr>
          <w:rFonts w:eastAsia="Times New Roman" w:cs="Sylfaen"/>
          <w:lang w:bidi="he-IL"/>
        </w:rPr>
        <w:t>հաստատելու մասին</w:t>
      </w:r>
      <w:r w:rsidRPr="00416147">
        <w:t>» Հաշվեքննիչ պալատի որոշման նախագիծը։</w:t>
      </w:r>
    </w:p>
    <w:p w14:paraId="4D6B5344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Հաշվեքննիչ պալատը, մինչև տվյալ տարվա դեկտեմբերի 1</w:t>
      </w:r>
      <w:r w:rsidRPr="00416147">
        <w:noBreakHyphen/>
        <w:t>ը հաստատում է Ծրագիրը։</w:t>
      </w:r>
    </w:p>
    <w:p w14:paraId="296642ED" w14:textId="77777777" w:rsidR="003E5A5A" w:rsidRPr="004A586B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</w:p>
    <w:p w14:paraId="5322552A" w14:textId="77777777" w:rsidR="003E5A5A" w:rsidRPr="00416147" w:rsidRDefault="003E5A5A" w:rsidP="003E5A5A">
      <w:pPr>
        <w:pStyle w:val="Heading1"/>
      </w:pPr>
      <w:r w:rsidRPr="00416147">
        <w:t>4</w:t>
      </w:r>
      <w:r w:rsidRPr="00416147">
        <w:rPr>
          <w:rFonts w:ascii="Cambria Math" w:hAnsi="Cambria Math" w:cs="Cambria Math"/>
        </w:rPr>
        <w:t>․</w:t>
      </w:r>
      <w:r w:rsidRPr="004A586B">
        <w:t xml:space="preserve"> </w:t>
      </w:r>
      <w:r w:rsidRPr="00416147">
        <w:t>ՊԵՏԱԿԱՆ ԲՅՈՒՋԵԻ ՖԻՆԱՆՍԱԿԱՆ ՀԱՇՎԵՔՆՆՈՒԹՅՈՒՆԸ ԵՎ ԹԵՄԱՏԻԿ ՀԱՇՎԵՔՆՆՈՒԹՅՈՒՆՆԵՐԸ</w:t>
      </w:r>
    </w:p>
    <w:p w14:paraId="672A08A4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</w:pPr>
      <w:r w:rsidRPr="00416147">
        <w:t>Ծրագրի՝ «Պետական բյուջեի ֆինանսական հաշվեքննություններ և թեմատիկ հաշվեքննություններ» բաժնում ներառվում են հետևյալ ծրագրային կետերը՝</w:t>
      </w:r>
    </w:p>
    <w:p w14:paraId="529A7A5B" w14:textId="77777777" w:rsidR="003E5A5A" w:rsidRPr="00706581" w:rsidRDefault="003E5A5A" w:rsidP="003E5A5A">
      <w:pPr>
        <w:pStyle w:val="ListParagraph"/>
        <w:numPr>
          <w:ilvl w:val="1"/>
          <w:numId w:val="21"/>
        </w:numPr>
        <w:tabs>
          <w:tab w:val="left" w:pos="993"/>
        </w:tabs>
        <w:spacing w:after="0" w:line="276" w:lineRule="auto"/>
        <w:ind w:left="0" w:firstLine="567"/>
      </w:pPr>
      <w:r w:rsidRPr="00416147">
        <w:t>պետական բյուջեի եռամսյակային (աճողական) և տարեկան ֆինանսական հաշվեքննություննե</w:t>
      </w:r>
      <w:r w:rsidRPr="0033197F">
        <w:t>ր</w:t>
      </w:r>
      <w:r w:rsidRPr="00416147">
        <w:t xml:space="preserve">ը։ </w:t>
      </w:r>
      <w:r>
        <w:t xml:space="preserve">Պետական բյուջեի ֆինանսական հաշվեքննության առարկան </w:t>
      </w:r>
      <w:r>
        <w:rPr>
          <w:rFonts w:eastAsia="Times New Roman" w:cs="Times New Roman"/>
          <w:color w:val="000000"/>
          <w:lang w:eastAsia="ru-RU"/>
        </w:rPr>
        <w:t>պետական բյուջեի կատարումն է, որի շրջանակում հաշվեքննվում են պետական բյուջեով նախատեսված ծրագրերը։</w:t>
      </w:r>
    </w:p>
    <w:p w14:paraId="0B54DBCA" w14:textId="77777777" w:rsidR="003E5A5A" w:rsidRPr="00802AB0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  <w:rPr>
          <w:b/>
          <w:i/>
          <w:sz w:val="18"/>
        </w:rPr>
      </w:pPr>
      <w:r w:rsidRPr="00802AB0">
        <w:rPr>
          <w:rFonts w:eastAsia="Times New Roman" w:cs="Times New Roman"/>
          <w:b/>
          <w:i/>
          <w:color w:val="000000"/>
          <w:sz w:val="18"/>
          <w:lang w:eastAsia="ru-RU"/>
        </w:rPr>
        <w:t>(26-րդ մասը փոփոխ. 26.08.25 ՀՊՈ-59-Լ)</w:t>
      </w:r>
    </w:p>
    <w:p w14:paraId="518088FB" w14:textId="77777777" w:rsidR="003E5A5A" w:rsidRPr="00416147" w:rsidRDefault="003E5A5A" w:rsidP="003E5A5A">
      <w:pPr>
        <w:pStyle w:val="ListParagraph"/>
        <w:numPr>
          <w:ilvl w:val="1"/>
          <w:numId w:val="21"/>
        </w:numPr>
        <w:tabs>
          <w:tab w:val="left" w:pos="993"/>
        </w:tabs>
        <w:spacing w:after="0" w:line="276" w:lineRule="auto"/>
        <w:ind w:left="0" w:firstLine="567"/>
      </w:pPr>
      <w:r w:rsidRPr="0033197F">
        <w:t>Թ</w:t>
      </w:r>
      <w:r w:rsidRPr="00416147">
        <w:t>եմատիկ հաշվեքննությունները, որոնք ընտրվում են հաշվի առնելով հետևյալ պայմանները՝</w:t>
      </w:r>
    </w:p>
    <w:p w14:paraId="4B13F2A7" w14:textId="77777777" w:rsidR="003E5A5A" w:rsidRPr="00416147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  <w:r w:rsidRPr="00416147">
        <w:rPr>
          <w:rFonts w:cs="Times New Roman"/>
        </w:rPr>
        <w:t>ա</w:t>
      </w:r>
      <w:r w:rsidRPr="00416147">
        <w:rPr>
          <w:rFonts w:ascii="Cambria Math" w:hAnsi="Cambria Math" w:cs="Cambria Math"/>
        </w:rPr>
        <w:t>․</w:t>
      </w:r>
      <w:r w:rsidRPr="004A586B">
        <w:rPr>
          <w:rFonts w:cs="Times New Roman"/>
        </w:rPr>
        <w:t xml:space="preserve"> </w:t>
      </w:r>
      <w:r w:rsidRPr="00416147">
        <w:rPr>
          <w:rFonts w:cs="Times New Roman"/>
        </w:rPr>
        <w:t>ռիսկի նկարագիրը</w:t>
      </w:r>
      <w:r w:rsidRPr="00416147">
        <w:t>,</w:t>
      </w:r>
    </w:p>
    <w:p w14:paraId="5750D8F8" w14:textId="77777777" w:rsidR="003E5A5A" w:rsidRPr="00416147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  <w:r w:rsidRPr="00416147">
        <w:rPr>
          <w:rFonts w:cs="Times New Roman"/>
        </w:rPr>
        <w:t>բ</w:t>
      </w:r>
      <w:r w:rsidRPr="00416147">
        <w:rPr>
          <w:rFonts w:ascii="Cambria Math" w:hAnsi="Cambria Math" w:cs="Cambria Math"/>
        </w:rPr>
        <w:t>․</w:t>
      </w:r>
      <w:r w:rsidRPr="004A586B">
        <w:rPr>
          <w:rFonts w:cs="Times New Roman"/>
        </w:rPr>
        <w:t xml:space="preserve"> </w:t>
      </w:r>
      <w:r w:rsidRPr="00416147">
        <w:rPr>
          <w:rFonts w:cs="Times New Roman"/>
        </w:rPr>
        <w:t>ռիսկայնության խմբերը,</w:t>
      </w:r>
    </w:p>
    <w:p w14:paraId="53A075F0" w14:textId="77777777" w:rsidR="003E5A5A" w:rsidRPr="00416147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  <w:r w:rsidRPr="00416147">
        <w:rPr>
          <w:rFonts w:cs="Times New Roman"/>
        </w:rPr>
        <w:t>գ</w:t>
      </w:r>
      <w:r w:rsidRPr="00416147">
        <w:rPr>
          <w:rFonts w:ascii="Cambria Math" w:hAnsi="Cambria Math" w:cs="Cambria Math"/>
        </w:rPr>
        <w:t>․</w:t>
      </w:r>
      <w:r w:rsidRPr="004A586B">
        <w:rPr>
          <w:rFonts w:cs="Times New Roman"/>
        </w:rPr>
        <w:t xml:space="preserve"> </w:t>
      </w:r>
      <w:r w:rsidRPr="00416147">
        <w:rPr>
          <w:rFonts w:cs="Times New Roman"/>
        </w:rPr>
        <w:t>ռիսկի վրա ազդող գործոնները,</w:t>
      </w:r>
    </w:p>
    <w:p w14:paraId="4DD95BD7" w14:textId="77777777" w:rsidR="003E5A5A" w:rsidRPr="00416147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  <w:r w:rsidRPr="00416147">
        <w:rPr>
          <w:rFonts w:cs="Times New Roman"/>
        </w:rPr>
        <w:t>դ</w:t>
      </w:r>
      <w:r w:rsidRPr="00416147">
        <w:rPr>
          <w:rFonts w:ascii="Cambria Math" w:hAnsi="Cambria Math" w:cs="Cambria Math"/>
        </w:rPr>
        <w:t>․</w:t>
      </w:r>
      <w:r w:rsidRPr="004A586B">
        <w:rPr>
          <w:rFonts w:cs="Times New Roman"/>
        </w:rPr>
        <w:t xml:space="preserve"> </w:t>
      </w:r>
      <w:r w:rsidRPr="00416147">
        <w:rPr>
          <w:rFonts w:cs="Times New Roman"/>
        </w:rPr>
        <w:t>ռիսկի մակարդակի վերլուծության սկզբունքները, ինչպես նաև</w:t>
      </w:r>
    </w:p>
    <w:p w14:paraId="26A53746" w14:textId="77777777" w:rsidR="003E5A5A" w:rsidRPr="00416147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567"/>
      </w:pPr>
      <w:r w:rsidRPr="00416147">
        <w:rPr>
          <w:rFonts w:cs="Times New Roman"/>
        </w:rPr>
        <w:t>ե</w:t>
      </w:r>
      <w:r w:rsidRPr="00416147">
        <w:rPr>
          <w:rFonts w:ascii="Cambria Math" w:hAnsi="Cambria Math" w:cs="Cambria Math"/>
        </w:rPr>
        <w:t>․</w:t>
      </w:r>
      <w:r w:rsidRPr="004A586B">
        <w:rPr>
          <w:rFonts w:cs="Times New Roman"/>
        </w:rPr>
        <w:t xml:space="preserve"> </w:t>
      </w:r>
      <w:r w:rsidRPr="00416147">
        <w:rPr>
          <w:rFonts w:cs="Times New Roman"/>
        </w:rPr>
        <w:t>թեմաների ընտրության հետ կապված այլ հանգամանքներ։</w:t>
      </w:r>
    </w:p>
    <w:p w14:paraId="2B464F0C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>Թեմատիկ հաշվեքննությունների առարկաների և տեսակների ընտրության կարգը սահմանվում է հանրային սեփականության (ունեցվածքի) կառավարման շրջանակում ռիսկերի գնահատման և ըստ այդմ՝ հաշվեքննության թեմայի ընտրության մեթոդաբանությամբ։</w:t>
      </w:r>
    </w:p>
    <w:p w14:paraId="4353584D" w14:textId="77777777" w:rsidR="003E5A5A" w:rsidRPr="00416147" w:rsidRDefault="003E5A5A" w:rsidP="003E5A5A">
      <w:pPr>
        <w:spacing w:after="0" w:line="276" w:lineRule="auto"/>
        <w:ind w:left="916"/>
        <w:rPr>
          <w:rFonts w:cs="Times New Roman"/>
          <w:lang w:val="hy-AM"/>
        </w:rPr>
      </w:pPr>
    </w:p>
    <w:p w14:paraId="6F6F4CC0" w14:textId="77777777" w:rsidR="003E5A5A" w:rsidRPr="00416147" w:rsidRDefault="003E5A5A" w:rsidP="003E5A5A">
      <w:pPr>
        <w:pStyle w:val="Heading1"/>
      </w:pPr>
      <w:r w:rsidRPr="00416147">
        <w:t>5</w:t>
      </w:r>
      <w:r w:rsidRPr="00416147">
        <w:rPr>
          <w:rFonts w:ascii="Cambria Math" w:eastAsia="MS Mincho" w:hAnsi="Cambria Math" w:cs="Cambria Math"/>
        </w:rPr>
        <w:t>․</w:t>
      </w:r>
      <w:r w:rsidRPr="00416147">
        <w:t xml:space="preserve"> ՄԻՋԱԶԳԱՅԻՆ ՀԱՄԱՁԱՅՆԱԳՐԵՐՈՎ </w:t>
      </w:r>
      <w:r>
        <w:t>ՍՏԱՆՁՆԱԾ</w:t>
      </w:r>
      <w:r w:rsidRPr="00416147">
        <w:t xml:space="preserve"> ՊԱՐՏԱՎՈՐՈՒԹՅՈՒՆՆԵՐԻ ԿԱՏԱՐՄԱՆՆ ՈՒՂՂՎԱԾ ՄԻՋՈՑԱՌՈՒՄՆԵՐԸ</w:t>
      </w:r>
    </w:p>
    <w:p w14:paraId="1BE0463B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t xml:space="preserve">Ծրագրի՝ «Միջազգային համաձայնագրերով </w:t>
      </w:r>
      <w:r>
        <w:t>ստանձնած</w:t>
      </w:r>
      <w:r w:rsidRPr="00416147">
        <w:t xml:space="preserve"> պարտավորությունների կատարմանն ուղղված միջոցառումներ» բաժնում ներառվում են միջազգային համաձայնագրերով Հայաստանի Հանրապետության ստանձնած պարտավորությունների շրջանակում Հաշվեքննիչ պալատի կողմից իրականացման ենթակա միջոցառումները։</w:t>
      </w:r>
    </w:p>
    <w:p w14:paraId="05F30F3E" w14:textId="77777777" w:rsidR="003E5A5A" w:rsidRPr="00416147" w:rsidRDefault="003E5A5A" w:rsidP="003E5A5A">
      <w:pPr>
        <w:pStyle w:val="Subtitle"/>
        <w:spacing w:before="0" w:after="0" w:line="276" w:lineRule="auto"/>
        <w:rPr>
          <w:color w:val="auto"/>
          <w:lang w:val="hy-AM"/>
        </w:rPr>
      </w:pPr>
    </w:p>
    <w:p w14:paraId="589C6DC7" w14:textId="77777777" w:rsidR="003E5A5A" w:rsidRPr="00416147" w:rsidRDefault="003E5A5A" w:rsidP="003E5A5A">
      <w:pPr>
        <w:pStyle w:val="Heading1"/>
      </w:pPr>
      <w:r w:rsidRPr="00416147">
        <w:t>6</w:t>
      </w:r>
      <w:r w:rsidRPr="00416147">
        <w:rPr>
          <w:rFonts w:ascii="Cambria Math" w:hAnsi="Cambria Math" w:cs="Cambria Math"/>
        </w:rPr>
        <w:t>․</w:t>
      </w:r>
      <w:r w:rsidRPr="00416147">
        <w:t xml:space="preserve"> ՀԱՇՎԵՔՆՆԻՉ ՊԱԼԱՏԻ ԳՈՐԾՈՒՆԵՈՒԹՅՈՒՆԸ ԲԱՐԵԼԱՎԵԼՈՒ ՌԱԶՄԱՎԱՐԱԿԱՆ ԶԱՐԳԱՑՄԱՆ ԾՐԱԳՐՈՎ ՆԱԽԱՏԵՍՎԱԾ ՄԻՋՈՑԱՌՈՒՄՆԵՐԸ</w:t>
      </w:r>
    </w:p>
    <w:p w14:paraId="042C443D" w14:textId="77777777" w:rsidR="003E5A5A" w:rsidRDefault="003E5A5A" w:rsidP="003E5A5A">
      <w:pPr>
        <w:pStyle w:val="Subtitle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567"/>
        <w:jc w:val="both"/>
        <w:rPr>
          <w:rFonts w:eastAsiaTheme="minorHAnsi" w:cs="Helvetica"/>
          <w:b w:val="0"/>
          <w:bCs w:val="0"/>
          <w:color w:val="auto"/>
          <w:spacing w:val="0"/>
          <w:sz w:val="24"/>
          <w:szCs w:val="24"/>
          <w:lang w:val="hy-AM"/>
        </w:rPr>
      </w:pPr>
      <w:r w:rsidRPr="00416147">
        <w:rPr>
          <w:rFonts w:eastAsiaTheme="minorHAnsi" w:cs="Helvetica"/>
          <w:b w:val="0"/>
          <w:bCs w:val="0"/>
          <w:color w:val="auto"/>
          <w:spacing w:val="0"/>
          <w:sz w:val="24"/>
          <w:szCs w:val="24"/>
          <w:lang w:val="hy-AM"/>
        </w:rPr>
        <w:t>Ծրագրի՝ «Հաշվեքննիչ պալատի գործունեությունը բարելավելու ռազմավարական զարգացման ծրագրով նախատեսված միջոցառումներ» բաժնում ներառվում են ռազմավարական ծրագրի կատարումն ապահովող՝ տվյալ տարվա համար նախատեսված միջոցառումները։</w:t>
      </w:r>
    </w:p>
    <w:p w14:paraId="31427C94" w14:textId="77777777" w:rsidR="003E5A5A" w:rsidRPr="004A586B" w:rsidRDefault="003E5A5A" w:rsidP="003E5A5A">
      <w:pPr>
        <w:rPr>
          <w:lang w:val="hy-AM"/>
        </w:rPr>
      </w:pPr>
    </w:p>
    <w:p w14:paraId="5EB1F7E1" w14:textId="77777777" w:rsidR="003E5A5A" w:rsidRPr="00416147" w:rsidRDefault="003E5A5A" w:rsidP="003E5A5A">
      <w:pPr>
        <w:pStyle w:val="Heading1"/>
      </w:pPr>
      <w:r w:rsidRPr="00416147">
        <w:t>7</w:t>
      </w:r>
      <w:r w:rsidRPr="00416147">
        <w:rPr>
          <w:rFonts w:ascii="Cambria Math" w:hAnsi="Cambria Math" w:cs="Cambria Math"/>
        </w:rPr>
        <w:t>․</w:t>
      </w:r>
      <w:r w:rsidRPr="004A586B">
        <w:t xml:space="preserve"> </w:t>
      </w:r>
      <w:r w:rsidRPr="00416147">
        <w:t>ԳՈՐԾՈՒՆԵՈՒԹՅԱՆ ԾՐԱԳՐԻ ԻՐԱԿԱՆԱՑՄԱՆ ՄՇՏԱԴԻՏԱՐԿՈՒՄԸ</w:t>
      </w:r>
    </w:p>
    <w:p w14:paraId="6C7F62D4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rPr>
          <w:rFonts w:cs="Times New Roman"/>
        </w:rPr>
        <w:t xml:space="preserve">Ստորաբաժանումը, ներքին աուդիտի ստորաբաժանման հետ համատեղ, իրականացնում է Ծրագրի իրագործման առաջընթացի ամսական (աճողական) մշտադիտարկում։ </w:t>
      </w:r>
    </w:p>
    <w:p w14:paraId="6DFF5506" w14:textId="77777777" w:rsidR="003E5A5A" w:rsidRPr="00416147" w:rsidRDefault="003E5A5A" w:rsidP="003E5A5A">
      <w:pPr>
        <w:widowControl w:val="0"/>
        <w:numPr>
          <w:ilvl w:val="0"/>
          <w:numId w:val="6"/>
        </w:numPr>
        <w:tabs>
          <w:tab w:val="left" w:pos="720"/>
          <w:tab w:val="left" w:pos="993"/>
        </w:tabs>
        <w:autoSpaceDN w:val="0"/>
        <w:adjustRightInd w:val="0"/>
        <w:spacing w:after="0" w:line="254" w:lineRule="auto"/>
        <w:ind w:left="0" w:firstLine="567"/>
        <w:jc w:val="both"/>
        <w:rPr>
          <w:rFonts w:eastAsia="Times New Roman" w:cs="Times New Roman"/>
          <w:lang w:val="hy-AM" w:bidi="hi-IN"/>
        </w:rPr>
      </w:pPr>
      <w:r w:rsidRPr="00416147">
        <w:rPr>
          <w:rFonts w:eastAsia="Times New Roman" w:cs="Times New Roman"/>
          <w:lang w:val="hy-AM" w:bidi="hi-IN"/>
        </w:rPr>
        <w:t xml:space="preserve">Մշտադիտարկման գործընթացի չափանիշներ են՝ Ծրագրի տվյալները, զարգացման ռազմավարական ծրագրի և Հաշվեքննիչ պալատի բյուջետային հայտի արդյունքային ցուցանիշները, ինչպես նաև այլ կիրառելի իրավական պահանջներ։ </w:t>
      </w:r>
    </w:p>
    <w:p w14:paraId="776DCAAD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rPr>
          <w:bCs/>
        </w:rPr>
      </w:pPr>
      <w:r w:rsidRPr="00416147">
        <w:rPr>
          <w:rFonts w:eastAsiaTheme="minorEastAsia" w:cs="Times New Roman"/>
          <w:bCs/>
        </w:rPr>
        <w:t xml:space="preserve">Մշտադիտարկման նպատակով տվյալները հավաքվում են հաշվեքննությունների աշխատանքային փաստաթղթերից, ներքին և արտաքին աղբյուրներից, ինչպես նաև </w:t>
      </w:r>
      <w:r>
        <w:rPr>
          <w:rFonts w:eastAsiaTheme="minorEastAsia" w:cs="Times New Roman"/>
          <w:bCs/>
        </w:rPr>
        <w:t xml:space="preserve">ներքին </w:t>
      </w:r>
      <w:r w:rsidRPr="00416147">
        <w:rPr>
          <w:rFonts w:eastAsiaTheme="minorEastAsia" w:cs="Times New Roman"/>
          <w:bCs/>
        </w:rPr>
        <w:t>հարցազրույցների միջոցով։</w:t>
      </w:r>
    </w:p>
    <w:p w14:paraId="4A0546A8" w14:textId="77777777" w:rsidR="003E5A5A" w:rsidRPr="00416147" w:rsidRDefault="003E5A5A" w:rsidP="003E5A5A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</w:pPr>
      <w:r w:rsidRPr="00416147">
        <w:rPr>
          <w:rFonts w:cs="Times New Roman"/>
        </w:rPr>
        <w:t xml:space="preserve">Մշտադիտարկման արդյունքներով, յուրաքանչյուր ամսվան հաջորդող ամսվա առաջին 10-ն օրվա ընթացքում, Ստորաբաժանումը Հաշվեքննիչ պալատին է ներկայացնում Ծրագրի կատարման </w:t>
      </w:r>
      <w:r>
        <w:rPr>
          <w:rFonts w:cs="Times New Roman"/>
        </w:rPr>
        <w:t>մշտադիտարկման</w:t>
      </w:r>
      <w:r w:rsidRPr="00416147">
        <w:rPr>
          <w:rFonts w:cs="Times New Roman"/>
        </w:rPr>
        <w:t xml:space="preserve"> արդյունքները։</w:t>
      </w:r>
    </w:p>
    <w:p w14:paraId="477485F4" w14:textId="77777777" w:rsidR="003E5A5A" w:rsidRPr="00416147" w:rsidRDefault="003E5A5A" w:rsidP="003E5A5A">
      <w:pPr>
        <w:tabs>
          <w:tab w:val="left" w:pos="993"/>
        </w:tabs>
        <w:spacing w:after="0" w:line="276" w:lineRule="auto"/>
        <w:rPr>
          <w:lang w:val="hy-AM"/>
        </w:rPr>
      </w:pPr>
    </w:p>
    <w:p w14:paraId="5C43C332" w14:textId="77777777" w:rsidR="003E5A5A" w:rsidRPr="0033197F" w:rsidRDefault="003E5A5A" w:rsidP="003E5A5A">
      <w:pPr>
        <w:rPr>
          <w:i/>
          <w:iCs/>
          <w:lang w:val="hy-AM"/>
        </w:rPr>
      </w:pPr>
      <w:r w:rsidRPr="0033197F">
        <w:rPr>
          <w:i/>
          <w:iCs/>
          <w:lang w:val="hy-AM"/>
        </w:rPr>
        <w:br w:type="page"/>
      </w:r>
    </w:p>
    <w:p w14:paraId="2EA44209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jc w:val="right"/>
        <w:rPr>
          <w:i/>
          <w:iCs/>
        </w:rPr>
      </w:pPr>
      <w:proofErr w:type="spellStart"/>
      <w:r w:rsidRPr="00416147">
        <w:rPr>
          <w:i/>
          <w:iCs/>
        </w:rPr>
        <w:t>Ձև</w:t>
      </w:r>
      <w:proofErr w:type="spellEnd"/>
      <w:r w:rsidRPr="00416147">
        <w:rPr>
          <w:i/>
          <w:iCs/>
        </w:rPr>
        <w:t xml:space="preserve"> 1</w:t>
      </w:r>
    </w:p>
    <w:p w14:paraId="6E862A2F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</w:pPr>
    </w:p>
    <w:p w14:paraId="2C0D41E4" w14:textId="77777777" w:rsidR="003E5A5A" w:rsidRPr="00416147" w:rsidRDefault="003E5A5A" w:rsidP="003E5A5A">
      <w:pPr>
        <w:tabs>
          <w:tab w:val="left" w:pos="993"/>
        </w:tabs>
        <w:spacing w:after="0" w:line="276" w:lineRule="auto"/>
        <w:jc w:val="center"/>
        <w:rPr>
          <w:b/>
          <w:bCs/>
          <w:sz w:val="28"/>
          <w:szCs w:val="28"/>
        </w:rPr>
      </w:pPr>
      <w:r w:rsidRPr="00416147">
        <w:rPr>
          <w:b/>
          <w:bCs/>
          <w:sz w:val="28"/>
          <w:szCs w:val="28"/>
        </w:rPr>
        <w:t>ՀԱՇՎԵՔՆՆՈՒԹՅԱՆ ԱՌԱՋՆԱՀԵՐԹՈՒԹՅՈՒՆՆԵՐԸ</w:t>
      </w:r>
    </w:p>
    <w:p w14:paraId="13A58233" w14:textId="77777777" w:rsidR="003E5A5A" w:rsidRPr="00416147" w:rsidRDefault="003E5A5A" w:rsidP="003E5A5A">
      <w:pPr>
        <w:tabs>
          <w:tab w:val="left" w:pos="993"/>
        </w:tabs>
        <w:spacing w:after="0" w:line="276" w:lineRule="auto"/>
        <w:jc w:val="center"/>
        <w:rPr>
          <w:b/>
          <w:bCs/>
          <w:sz w:val="28"/>
          <w:szCs w:val="28"/>
        </w:rPr>
      </w:pPr>
    </w:p>
    <w:p w14:paraId="4F80A51C" w14:textId="77777777" w:rsidR="003E5A5A" w:rsidRPr="004A586B" w:rsidRDefault="003E5A5A" w:rsidP="003E5A5A">
      <w:pPr>
        <w:tabs>
          <w:tab w:val="left" w:pos="993"/>
        </w:tabs>
        <w:spacing w:after="0" w:line="276" w:lineRule="auto"/>
        <w:jc w:val="center"/>
        <w:rPr>
          <w:b/>
          <w:bCs/>
        </w:rPr>
      </w:pPr>
      <w:r w:rsidRPr="00416147">
        <w:rPr>
          <w:b/>
          <w:bCs/>
        </w:rPr>
        <w:t xml:space="preserve">---------- - --------- </w:t>
      </w:r>
      <w:proofErr w:type="spellStart"/>
      <w:r w:rsidRPr="00416147">
        <w:rPr>
          <w:b/>
          <w:bCs/>
        </w:rPr>
        <w:t>թթ</w:t>
      </w:r>
      <w:proofErr w:type="spellEnd"/>
      <w:r w:rsidRPr="00416147">
        <w:rPr>
          <w:rFonts w:ascii="Cambria Math" w:hAnsi="Cambria Math" w:cs="Cambria Math"/>
          <w:b/>
          <w:bCs/>
        </w:rPr>
        <w:t>․</w:t>
      </w:r>
    </w:p>
    <w:p w14:paraId="154B010F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rPr>
          <w:lang w:val="hy-AM"/>
        </w:rPr>
      </w:pPr>
    </w:p>
    <w:p w14:paraId="797466C6" w14:textId="77777777" w:rsidR="003E5A5A" w:rsidRPr="00416147" w:rsidRDefault="003E5A5A" w:rsidP="003E5A5A">
      <w:pPr>
        <w:tabs>
          <w:tab w:val="left" w:pos="993"/>
        </w:tabs>
        <w:spacing w:after="0" w:line="360" w:lineRule="auto"/>
        <w:ind w:firstLine="567"/>
      </w:pPr>
    </w:p>
    <w:p w14:paraId="0197C154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r w:rsidRPr="00416147">
        <w:t>Բովանդակություն</w:t>
      </w:r>
    </w:p>
    <w:p w14:paraId="35E06FAF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r w:rsidRPr="00416147">
        <w:t>Հապավումներ</w:t>
      </w:r>
    </w:p>
    <w:p w14:paraId="7E2960F1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480" w:lineRule="auto"/>
        <w:ind w:left="0" w:firstLine="567"/>
      </w:pPr>
      <w:r w:rsidRPr="00416147">
        <w:t>Ներածություն</w:t>
      </w:r>
    </w:p>
    <w:p w14:paraId="1478F716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r w:rsidRPr="00416147">
        <w:t>Առաջնահերթություն «</w:t>
      </w:r>
      <w:r w:rsidRPr="00416147">
        <w:rPr>
          <w:lang w:val="en-US"/>
        </w:rPr>
        <w:t>(</w:t>
      </w:r>
      <w:proofErr w:type="spellStart"/>
      <w:r w:rsidRPr="00416147">
        <w:rPr>
          <w:lang w:val="en-US"/>
        </w:rPr>
        <w:t>Վերնագիրը</w:t>
      </w:r>
      <w:proofErr w:type="spellEnd"/>
      <w:r w:rsidRPr="00416147">
        <w:rPr>
          <w:lang w:val="en-US"/>
        </w:rPr>
        <w:t>)</w:t>
      </w:r>
      <w:r w:rsidRPr="00416147">
        <w:t>»</w:t>
      </w:r>
    </w:p>
    <w:p w14:paraId="7FABD271" w14:textId="77777777" w:rsidR="003E5A5A" w:rsidRPr="00416147" w:rsidRDefault="003E5A5A" w:rsidP="003E5A5A">
      <w:pPr>
        <w:tabs>
          <w:tab w:val="left" w:pos="993"/>
        </w:tabs>
        <w:spacing w:after="120" w:line="360" w:lineRule="auto"/>
        <w:ind w:left="567" w:firstLine="567"/>
        <w:rPr>
          <w:bCs/>
          <w:color w:val="000000" w:themeColor="text1"/>
        </w:rPr>
      </w:pPr>
      <w:r w:rsidRPr="00416147">
        <w:rPr>
          <w:bCs/>
          <w:color w:val="000000" w:themeColor="text1"/>
        </w:rPr>
        <w:t xml:space="preserve">- </w:t>
      </w:r>
      <w:proofErr w:type="spellStart"/>
      <w:r w:rsidRPr="00416147">
        <w:rPr>
          <w:bCs/>
          <w:color w:val="000000" w:themeColor="text1"/>
        </w:rPr>
        <w:t>Նշանակալի</w:t>
      </w:r>
      <w:proofErr w:type="spellEnd"/>
      <w:r w:rsidRPr="00416147">
        <w:rPr>
          <w:bCs/>
          <w:color w:val="000000" w:themeColor="text1"/>
        </w:rPr>
        <w:t xml:space="preserve"> </w:t>
      </w:r>
      <w:proofErr w:type="spellStart"/>
      <w:r w:rsidRPr="00416147">
        <w:rPr>
          <w:bCs/>
          <w:color w:val="000000" w:themeColor="text1"/>
        </w:rPr>
        <w:t>միտումներ</w:t>
      </w:r>
      <w:proofErr w:type="spellEnd"/>
      <w:r w:rsidRPr="00416147">
        <w:rPr>
          <w:bCs/>
          <w:color w:val="000000" w:themeColor="text1"/>
        </w:rPr>
        <w:t xml:space="preserve"> և </w:t>
      </w:r>
      <w:proofErr w:type="spellStart"/>
      <w:r w:rsidRPr="00416147">
        <w:rPr>
          <w:bCs/>
          <w:color w:val="000000" w:themeColor="text1"/>
        </w:rPr>
        <w:t>մարտահրավերներ</w:t>
      </w:r>
      <w:proofErr w:type="spellEnd"/>
    </w:p>
    <w:p w14:paraId="7DB535E1" w14:textId="77777777" w:rsidR="003E5A5A" w:rsidRPr="00416147" w:rsidRDefault="003E5A5A" w:rsidP="003E5A5A">
      <w:pPr>
        <w:tabs>
          <w:tab w:val="left" w:pos="993"/>
        </w:tabs>
        <w:spacing w:after="120" w:line="480" w:lineRule="auto"/>
        <w:ind w:left="567" w:firstLine="567"/>
        <w:rPr>
          <w:bCs/>
          <w:color w:val="000000" w:themeColor="text1"/>
        </w:rPr>
      </w:pPr>
      <w:r w:rsidRPr="00416147">
        <w:rPr>
          <w:bCs/>
          <w:color w:val="000000" w:themeColor="text1"/>
        </w:rPr>
        <w:t xml:space="preserve">- </w:t>
      </w:r>
      <w:proofErr w:type="spellStart"/>
      <w:r w:rsidRPr="00416147">
        <w:rPr>
          <w:bCs/>
          <w:color w:val="000000" w:themeColor="text1"/>
        </w:rPr>
        <w:t>Հաշվեքննության</w:t>
      </w:r>
      <w:proofErr w:type="spellEnd"/>
      <w:r w:rsidRPr="00416147">
        <w:rPr>
          <w:bCs/>
          <w:color w:val="000000" w:themeColor="text1"/>
        </w:rPr>
        <w:t xml:space="preserve"> </w:t>
      </w:r>
      <w:proofErr w:type="spellStart"/>
      <w:r w:rsidRPr="00416147">
        <w:rPr>
          <w:bCs/>
          <w:color w:val="000000" w:themeColor="text1"/>
        </w:rPr>
        <w:t>հիմնական</w:t>
      </w:r>
      <w:proofErr w:type="spellEnd"/>
      <w:r w:rsidRPr="00416147">
        <w:rPr>
          <w:bCs/>
          <w:color w:val="000000" w:themeColor="text1"/>
        </w:rPr>
        <w:t xml:space="preserve"> </w:t>
      </w:r>
      <w:proofErr w:type="spellStart"/>
      <w:r w:rsidRPr="00416147">
        <w:rPr>
          <w:bCs/>
          <w:color w:val="000000" w:themeColor="text1"/>
        </w:rPr>
        <w:t>ուղղությունները</w:t>
      </w:r>
      <w:proofErr w:type="spellEnd"/>
    </w:p>
    <w:p w14:paraId="2BE0EA42" w14:textId="77777777" w:rsidR="003E5A5A" w:rsidRPr="004A586B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proofErr w:type="spellStart"/>
      <w:r>
        <w:rPr>
          <w:lang w:val="en-US"/>
        </w:rPr>
        <w:t>Առաջընթաց</w:t>
      </w:r>
      <w:proofErr w:type="spellEnd"/>
    </w:p>
    <w:p w14:paraId="6E87A0A5" w14:textId="77777777" w:rsidR="003E5A5A" w:rsidRPr="004A586B" w:rsidRDefault="003E5A5A" w:rsidP="003E5A5A">
      <w:pPr>
        <w:spacing w:after="120" w:line="360" w:lineRule="auto"/>
        <w:ind w:firstLine="567"/>
        <w:jc w:val="both"/>
        <w:rPr>
          <w:lang w:val="hy-AM"/>
        </w:rPr>
      </w:pPr>
      <w:r w:rsidRPr="00085D30">
        <w:rPr>
          <w:lang w:val="hy-AM"/>
        </w:rPr>
        <w:t xml:space="preserve">- </w:t>
      </w:r>
      <w:r w:rsidRPr="0033197F">
        <w:rPr>
          <w:lang w:val="hy-AM"/>
        </w:rPr>
        <w:t>Հաշվեքննիչ պալատի նախորդ տարիների մ</w:t>
      </w:r>
      <w:r w:rsidRPr="003D772E">
        <w:rPr>
          <w:lang w:val="hy-AM" w:bidi="he-IL"/>
        </w:rPr>
        <w:t>իջնաժամկետ առաջնահերթությունների հիման վրա հաստատված</w:t>
      </w:r>
      <w:r w:rsidRPr="0033197F">
        <w:rPr>
          <w:lang w:val="hy-AM" w:bidi="he-IL"/>
        </w:rPr>
        <w:t xml:space="preserve"> հաշվեքննության ծրագրային կետերի</w:t>
      </w:r>
      <w:r w:rsidRPr="00047636">
        <w:rPr>
          <w:lang w:val="hy-AM" w:bidi="he-IL"/>
        </w:rPr>
        <w:t xml:space="preserve"> </w:t>
      </w:r>
      <w:r w:rsidRPr="0033197F">
        <w:rPr>
          <w:lang w:val="hy-AM" w:bidi="he-IL"/>
        </w:rPr>
        <w:t>կատարման արդյունքում արձանագրված առաջընթացի վերաբերյալ ամփոփ տեղեկատվություն</w:t>
      </w:r>
    </w:p>
    <w:p w14:paraId="642ABC65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r w:rsidRPr="00416147">
        <w:t>Ռիսկեր</w:t>
      </w:r>
    </w:p>
    <w:p w14:paraId="568A629B" w14:textId="77777777" w:rsidR="003E5A5A" w:rsidRPr="00416147" w:rsidRDefault="003E5A5A" w:rsidP="003E5A5A">
      <w:pPr>
        <w:pStyle w:val="ListParagraph"/>
        <w:numPr>
          <w:ilvl w:val="0"/>
          <w:numId w:val="30"/>
        </w:numPr>
        <w:tabs>
          <w:tab w:val="left" w:pos="993"/>
        </w:tabs>
        <w:spacing w:after="120" w:line="360" w:lineRule="auto"/>
        <w:ind w:left="0" w:firstLine="567"/>
      </w:pPr>
      <w:r w:rsidRPr="00416147">
        <w:t>Ծանոթագրություն</w:t>
      </w:r>
    </w:p>
    <w:p w14:paraId="15F5AE13" w14:textId="77777777" w:rsidR="003E5A5A" w:rsidRDefault="003E5A5A" w:rsidP="003E5A5A">
      <w:pPr>
        <w:rPr>
          <w:i/>
          <w:iCs/>
          <w:lang w:val="hy-AM"/>
        </w:rPr>
      </w:pPr>
      <w:bookmarkStart w:id="6" w:name="_Hlk173840999"/>
      <w:r>
        <w:rPr>
          <w:i/>
          <w:iCs/>
          <w:lang w:val="hy-AM"/>
        </w:rPr>
        <w:br w:type="page"/>
      </w:r>
    </w:p>
    <w:p w14:paraId="0D23D99C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jc w:val="right"/>
        <w:rPr>
          <w:i/>
          <w:iCs/>
        </w:rPr>
      </w:pPr>
      <w:r w:rsidRPr="00416147">
        <w:rPr>
          <w:i/>
          <w:iCs/>
          <w:lang w:val="hy-AM"/>
        </w:rPr>
        <w:t xml:space="preserve">Ձև </w:t>
      </w:r>
      <w:r w:rsidRPr="00416147">
        <w:rPr>
          <w:i/>
          <w:iCs/>
        </w:rPr>
        <w:t>2</w:t>
      </w:r>
      <w:bookmarkEnd w:id="6"/>
    </w:p>
    <w:p w14:paraId="335FECD2" w14:textId="77777777" w:rsidR="003E5A5A" w:rsidRPr="00416147" w:rsidRDefault="003E5A5A" w:rsidP="003E5A5A">
      <w:pPr>
        <w:spacing w:after="0" w:line="276" w:lineRule="auto"/>
        <w:jc w:val="right"/>
        <w:rPr>
          <w:rFonts w:eastAsiaTheme="minorEastAsia" w:cs="Times New Roman"/>
          <w:sz w:val="20"/>
          <w:szCs w:val="20"/>
          <w:lang w:val="hy-AM"/>
        </w:rPr>
      </w:pPr>
    </w:p>
    <w:p w14:paraId="020D0225" w14:textId="77777777" w:rsidR="003E5A5A" w:rsidRPr="004A586B" w:rsidRDefault="003E5A5A" w:rsidP="003E5A5A">
      <w:pPr>
        <w:spacing w:after="0" w:line="276" w:lineRule="auto"/>
        <w:jc w:val="right"/>
        <w:rPr>
          <w:rFonts w:eastAsiaTheme="minorEastAsia" w:cs="Times New Roman"/>
          <w:sz w:val="20"/>
          <w:szCs w:val="20"/>
          <w:lang w:val="hy-AM"/>
        </w:rPr>
      </w:pPr>
      <w:r w:rsidRPr="00416147">
        <w:rPr>
          <w:rFonts w:eastAsiaTheme="minorEastAsia" w:cs="Times New Roman"/>
          <w:sz w:val="20"/>
          <w:szCs w:val="20"/>
          <w:lang w:val="hy-AM"/>
        </w:rPr>
        <w:t>Հավելված</w:t>
      </w:r>
    </w:p>
    <w:p w14:paraId="4817EE5A" w14:textId="77777777" w:rsidR="003E5A5A" w:rsidRPr="00416147" w:rsidRDefault="003E5A5A" w:rsidP="003E5A5A">
      <w:pPr>
        <w:spacing w:after="0" w:line="276" w:lineRule="auto"/>
        <w:jc w:val="right"/>
        <w:rPr>
          <w:rFonts w:eastAsiaTheme="minorEastAsia" w:cs="Times New Roman"/>
          <w:sz w:val="20"/>
          <w:szCs w:val="20"/>
          <w:lang w:val="hy-AM"/>
        </w:rPr>
      </w:pPr>
      <w:r w:rsidRPr="00416147">
        <w:rPr>
          <w:rFonts w:eastAsiaTheme="minorEastAsia" w:cs="Times New Roman"/>
          <w:sz w:val="20"/>
          <w:szCs w:val="20"/>
          <w:lang w:val="hy-AM"/>
        </w:rPr>
        <w:t>Հաշվեքննիչ պալատի 20</w:t>
      </w:r>
      <w:r w:rsidRPr="004A586B">
        <w:rPr>
          <w:rFonts w:eastAsiaTheme="minorEastAsia" w:cs="Times New Roman"/>
          <w:sz w:val="20"/>
          <w:szCs w:val="20"/>
          <w:lang w:val="hy-AM"/>
        </w:rPr>
        <w:t>----</w:t>
      </w:r>
      <w:r w:rsidRPr="00416147">
        <w:rPr>
          <w:rFonts w:eastAsiaTheme="minorEastAsia" w:cs="Times New Roman"/>
          <w:sz w:val="20"/>
          <w:szCs w:val="20"/>
          <w:lang w:val="hy-AM"/>
        </w:rPr>
        <w:t xml:space="preserve"> թվականի</w:t>
      </w:r>
    </w:p>
    <w:p w14:paraId="591FD347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jc w:val="right"/>
        <w:rPr>
          <w:i/>
          <w:iCs/>
        </w:rPr>
      </w:pPr>
      <w:r w:rsidRPr="00416147">
        <w:rPr>
          <w:rFonts w:eastAsiaTheme="minorEastAsia" w:cs="Times New Roman"/>
          <w:sz w:val="20"/>
          <w:szCs w:val="20"/>
        </w:rPr>
        <w:t>————— --- -</w:t>
      </w:r>
      <w:r w:rsidRPr="00416147">
        <w:rPr>
          <w:rFonts w:eastAsiaTheme="minorEastAsia" w:cs="Times New Roman"/>
          <w:sz w:val="20"/>
          <w:szCs w:val="20"/>
          <w:lang w:val="hy-AM"/>
        </w:rPr>
        <w:t>ի թիվ</w:t>
      </w:r>
      <w:r w:rsidRPr="00416147">
        <w:rPr>
          <w:rFonts w:eastAsiaTheme="minorEastAsia" w:cs="Times New Roman"/>
          <w:sz w:val="20"/>
          <w:szCs w:val="20"/>
        </w:rPr>
        <w:t>——— -Լ</w:t>
      </w:r>
      <w:r w:rsidRPr="00416147">
        <w:rPr>
          <w:rFonts w:eastAsiaTheme="minorEastAsia" w:cs="Times New Roman"/>
          <w:sz w:val="20"/>
          <w:szCs w:val="20"/>
          <w:lang w:val="hy-AM"/>
        </w:rPr>
        <w:t xml:space="preserve"> որոշման</w:t>
      </w:r>
    </w:p>
    <w:p w14:paraId="34F940CE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rPr>
          <w:lang w:val="hy-AM"/>
        </w:rPr>
      </w:pPr>
    </w:p>
    <w:p w14:paraId="5937FBE5" w14:textId="77777777" w:rsidR="003E5A5A" w:rsidRPr="00416147" w:rsidRDefault="003E5A5A" w:rsidP="003E5A5A">
      <w:pPr>
        <w:spacing w:after="0" w:line="276" w:lineRule="auto"/>
        <w:jc w:val="center"/>
        <w:rPr>
          <w:lang w:val="hy-AM"/>
        </w:rPr>
      </w:pPr>
      <w:r w:rsidRPr="00416147">
        <w:rPr>
          <w:b/>
          <w:lang w:val="hy-AM"/>
        </w:rPr>
        <w:t>ՀԱՇՎԵՔՆՆԻՉ ՊԱԼԱՏԻ 20</w:t>
      </w:r>
      <w:r w:rsidRPr="004A586B">
        <w:rPr>
          <w:b/>
          <w:lang w:val="hy-AM"/>
        </w:rPr>
        <w:t>——</w:t>
      </w:r>
      <w:r w:rsidRPr="00416147">
        <w:rPr>
          <w:b/>
          <w:lang w:val="hy-AM"/>
        </w:rPr>
        <w:t xml:space="preserve"> ԹՎԱԿԱՆԻ ԳՈՐԾՈՒՆԵՈՒԹՅԱՆ ԾՐԱԳԻՐ</w:t>
      </w:r>
    </w:p>
    <w:p w14:paraId="53C770F5" w14:textId="77777777" w:rsidR="003E5A5A" w:rsidRPr="00416147" w:rsidRDefault="003E5A5A" w:rsidP="003E5A5A">
      <w:pPr>
        <w:tabs>
          <w:tab w:val="left" w:pos="993"/>
        </w:tabs>
        <w:spacing w:after="0" w:line="276" w:lineRule="auto"/>
        <w:ind w:firstLine="567"/>
        <w:rPr>
          <w:lang w:val="hy-AM"/>
        </w:rPr>
      </w:pPr>
    </w:p>
    <w:p w14:paraId="25454F02" w14:textId="77777777" w:rsidR="003E5A5A" w:rsidRPr="00416147" w:rsidRDefault="003E5A5A" w:rsidP="003E5A5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u w:val="single"/>
          <w:lang w:val="hy-AM" w:bidi="hi-IN"/>
        </w:rPr>
      </w:pPr>
      <w:r w:rsidRPr="00416147">
        <w:rPr>
          <w:rFonts w:eastAsia="Times New Roman" w:cs="Calibri"/>
          <w:b/>
          <w:u w:val="single"/>
          <w:lang w:val="hy-AM" w:bidi="hi-IN"/>
        </w:rPr>
        <w:t>1-ԻՆ</w:t>
      </w:r>
      <w:r>
        <w:rPr>
          <w:rFonts w:eastAsia="Times New Roman" w:cs="Calibri"/>
          <w:b/>
          <w:u w:val="single"/>
          <w:lang w:bidi="hi-IN"/>
        </w:rPr>
        <w:t xml:space="preserve"> </w:t>
      </w:r>
      <w:r w:rsidRPr="00416147">
        <w:rPr>
          <w:rFonts w:eastAsia="Times New Roman" w:cs="Calibri"/>
          <w:b/>
          <w:u w:val="single"/>
          <w:lang w:val="hy-AM" w:bidi="hi-IN"/>
        </w:rPr>
        <w:t>ԲԱԺԻՆ</w:t>
      </w:r>
    </w:p>
    <w:p w14:paraId="6EF4B7B2" w14:textId="77777777" w:rsidR="003E5A5A" w:rsidRPr="00416147" w:rsidRDefault="003E5A5A" w:rsidP="003E5A5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hy-AM" w:bidi="hi-IN"/>
        </w:rPr>
      </w:pPr>
      <w:r w:rsidRPr="00416147">
        <w:rPr>
          <w:rFonts w:eastAsia="Times New Roman" w:cs="Calibri"/>
          <w:b/>
          <w:lang w:val="hy-AM" w:bidi="hi-IN"/>
        </w:rPr>
        <w:t>- ՊԵՏԱԿԱՆ ԲՅՈՒՋԵԻ ՖԻՆԱՆՍԱԿԱՆ ՀԱՇՎԵՔՆՆՈՒԹՅՈՒՆ</w:t>
      </w:r>
    </w:p>
    <w:p w14:paraId="3D381BCE" w14:textId="77777777" w:rsidR="003E5A5A" w:rsidRPr="00416147" w:rsidRDefault="003E5A5A" w:rsidP="003E5A5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76" w:lineRule="auto"/>
        <w:ind w:left="720"/>
        <w:jc w:val="both"/>
        <w:rPr>
          <w:rFonts w:eastAsia="Times New Roman" w:cs="Calibri"/>
          <w:b/>
          <w:sz w:val="14"/>
          <w:lang w:val="hy-AM" w:bidi="hi-IN"/>
        </w:rPr>
      </w:pPr>
    </w:p>
    <w:p w14:paraId="2C8F764B" w14:textId="77777777" w:rsidR="003E5A5A" w:rsidRPr="00416147" w:rsidRDefault="003E5A5A" w:rsidP="003E5A5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76" w:lineRule="auto"/>
        <w:ind w:left="720"/>
        <w:jc w:val="both"/>
        <w:rPr>
          <w:rFonts w:eastAsia="Times New Roman" w:cs="Calibri"/>
          <w:b/>
          <w:sz w:val="2"/>
          <w:lang w:val="hy-AM" w:bidi="hi-IN"/>
        </w:rPr>
      </w:pPr>
    </w:p>
    <w:tbl>
      <w:tblPr>
        <w:tblStyle w:val="TableGrid"/>
        <w:tblW w:w="10689" w:type="dxa"/>
        <w:tblInd w:w="-431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232"/>
        <w:gridCol w:w="2058"/>
        <w:gridCol w:w="2053"/>
        <w:gridCol w:w="1800"/>
        <w:gridCol w:w="1800"/>
      </w:tblGrid>
      <w:tr w:rsidR="003E5A5A" w:rsidRPr="009B5456" w14:paraId="51DFFB70" w14:textId="77777777" w:rsidTr="002932CA">
        <w:trPr>
          <w:trHeight w:val="913"/>
        </w:trPr>
        <w:tc>
          <w:tcPr>
            <w:tcW w:w="746" w:type="dxa"/>
            <w:shd w:val="clear" w:color="auto" w:fill="8EAADB" w:themeFill="accent1" w:themeFillTint="99"/>
            <w:vAlign w:val="center"/>
          </w:tcPr>
          <w:p w14:paraId="16B9E787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2232" w:type="dxa"/>
            <w:shd w:val="clear" w:color="auto" w:fill="8EAADB" w:themeFill="accent1" w:themeFillTint="99"/>
            <w:vAlign w:val="center"/>
          </w:tcPr>
          <w:p w14:paraId="74F3D612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9B5456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օբյեկտ</w:t>
            </w:r>
            <w:proofErr w:type="spellEnd"/>
          </w:p>
        </w:tc>
        <w:tc>
          <w:tcPr>
            <w:tcW w:w="2058" w:type="dxa"/>
            <w:shd w:val="clear" w:color="auto" w:fill="8EAADB" w:themeFill="accent1" w:themeFillTint="99"/>
            <w:vAlign w:val="center"/>
          </w:tcPr>
          <w:p w14:paraId="49685AF0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9B5456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առարկա</w:t>
            </w:r>
            <w:proofErr w:type="spellEnd"/>
          </w:p>
        </w:tc>
        <w:tc>
          <w:tcPr>
            <w:tcW w:w="2053" w:type="dxa"/>
            <w:shd w:val="clear" w:color="auto" w:fill="8EAADB" w:themeFill="accent1" w:themeFillTint="99"/>
            <w:vAlign w:val="center"/>
          </w:tcPr>
          <w:p w14:paraId="43758054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տեսակ</w:t>
            </w:r>
            <w:proofErr w:type="spellEnd"/>
          </w:p>
        </w:tc>
        <w:tc>
          <w:tcPr>
            <w:tcW w:w="1800" w:type="dxa"/>
            <w:shd w:val="clear" w:color="auto" w:fill="8EAADB" w:themeFill="accent1" w:themeFillTint="99"/>
          </w:tcPr>
          <w:p w14:paraId="0DC8F9E0" w14:textId="77777777" w:rsidR="003E5A5A" w:rsidRPr="00505E2F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Պատասխանատու</w:t>
            </w:r>
            <w:proofErr w:type="spellEnd"/>
            <w:r w:rsidRPr="009B5456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1800" w:type="dxa"/>
            <w:shd w:val="clear" w:color="auto" w:fill="8EAADB" w:themeFill="accent1" w:themeFillTint="99"/>
            <w:vAlign w:val="center"/>
          </w:tcPr>
          <w:p w14:paraId="7226B44E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Հաշվեքննության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իրականացման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lang w:bidi="hi-IN"/>
              </w:rPr>
              <w:t>ժամկետ</w:t>
            </w:r>
            <w:proofErr w:type="spellEnd"/>
          </w:p>
        </w:tc>
      </w:tr>
      <w:tr w:rsidR="003E5A5A" w:rsidRPr="009B5456" w14:paraId="5D2529A3" w14:textId="77777777" w:rsidTr="002932CA">
        <w:trPr>
          <w:trHeight w:val="306"/>
        </w:trPr>
        <w:tc>
          <w:tcPr>
            <w:tcW w:w="746" w:type="dxa"/>
            <w:shd w:val="clear" w:color="auto" w:fill="D9E2F3" w:themeFill="accent1" w:themeFillTint="33"/>
            <w:vAlign w:val="center"/>
          </w:tcPr>
          <w:p w14:paraId="18BDCF22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lang w:bidi="hi-IN"/>
              </w:rPr>
            </w:pPr>
            <w:r w:rsidRPr="009B5456">
              <w:rPr>
                <w:rFonts w:ascii="GHEA Grapalat" w:hAnsi="GHEA Grapalat" w:cs="Calibri"/>
                <w:sz w:val="20"/>
                <w:lang w:bidi="hi-IN"/>
              </w:rPr>
              <w:t>1.</w:t>
            </w:r>
          </w:p>
        </w:tc>
        <w:tc>
          <w:tcPr>
            <w:tcW w:w="2232" w:type="dxa"/>
            <w:shd w:val="clear" w:color="auto" w:fill="D9E2F3" w:themeFill="accent1" w:themeFillTint="33"/>
            <w:vAlign w:val="center"/>
          </w:tcPr>
          <w:p w14:paraId="44BFFDDA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lang w:bidi="hi-IN"/>
              </w:rPr>
            </w:pPr>
          </w:p>
        </w:tc>
        <w:tc>
          <w:tcPr>
            <w:tcW w:w="2058" w:type="dxa"/>
            <w:shd w:val="clear" w:color="auto" w:fill="D9E2F3" w:themeFill="accent1" w:themeFillTint="33"/>
            <w:vAlign w:val="center"/>
          </w:tcPr>
          <w:p w14:paraId="147A7E5F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lang w:val="hy-AM" w:bidi="hi-IN"/>
              </w:rPr>
            </w:pPr>
          </w:p>
        </w:tc>
        <w:tc>
          <w:tcPr>
            <w:tcW w:w="2053" w:type="dxa"/>
            <w:shd w:val="clear" w:color="auto" w:fill="D9E2F3" w:themeFill="accent1" w:themeFillTint="33"/>
            <w:vAlign w:val="center"/>
          </w:tcPr>
          <w:p w14:paraId="3A4EC4C0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lang w:bidi="hi-IN"/>
              </w:rPr>
            </w:pPr>
          </w:p>
        </w:tc>
        <w:tc>
          <w:tcPr>
            <w:tcW w:w="1800" w:type="dxa"/>
            <w:shd w:val="clear" w:color="auto" w:fill="D9E2F3" w:themeFill="accent1" w:themeFillTint="33"/>
          </w:tcPr>
          <w:p w14:paraId="7ADEC31A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0"/>
                <w:lang w:bidi="hi-IN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4EEFB5FA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lang w:bidi="hi-IN"/>
              </w:rPr>
            </w:pPr>
          </w:p>
        </w:tc>
      </w:tr>
    </w:tbl>
    <w:p w14:paraId="75BB28AE" w14:textId="77777777" w:rsidR="003E5A5A" w:rsidRPr="00706581" w:rsidRDefault="003E5A5A" w:rsidP="003E5A5A">
      <w:pPr>
        <w:pStyle w:val="ListParagraph"/>
        <w:numPr>
          <w:ilvl w:val="0"/>
          <w:numId w:val="0"/>
        </w:numPr>
        <w:tabs>
          <w:tab w:val="left" w:pos="993"/>
        </w:tabs>
        <w:spacing w:after="0" w:line="276" w:lineRule="auto"/>
        <w:ind w:left="-426"/>
        <w:rPr>
          <w:b/>
          <w:i/>
          <w:sz w:val="18"/>
          <w:lang w:val="en-US"/>
        </w:rPr>
      </w:pPr>
      <w:r w:rsidRPr="00706581">
        <w:rPr>
          <w:rFonts w:eastAsia="Times New Roman" w:cs="Times New Roman"/>
          <w:b/>
          <w:i/>
          <w:color w:val="000000"/>
          <w:sz w:val="18"/>
          <w:lang w:val="en-US" w:eastAsia="ru-RU"/>
        </w:rPr>
        <w:t>(</w:t>
      </w:r>
      <w:proofErr w:type="spellStart"/>
      <w:r>
        <w:rPr>
          <w:rFonts w:eastAsia="Times New Roman" w:cs="Times New Roman"/>
          <w:b/>
          <w:i/>
          <w:color w:val="000000"/>
          <w:sz w:val="18"/>
          <w:lang w:val="en-US" w:eastAsia="ru-RU"/>
        </w:rPr>
        <w:t>Բաժինը</w:t>
      </w:r>
      <w:proofErr w:type="spellEnd"/>
      <w:r>
        <w:rPr>
          <w:rFonts w:eastAsia="Times New Roman" w:cs="Times New Roman"/>
          <w:b/>
          <w:i/>
          <w:color w:val="000000"/>
          <w:sz w:val="1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color w:val="000000"/>
          <w:sz w:val="18"/>
          <w:lang w:val="en-US" w:eastAsia="ru-RU"/>
        </w:rPr>
        <w:t>լրաց</w:t>
      </w:r>
      <w:proofErr w:type="spellEnd"/>
      <w:r>
        <w:rPr>
          <w:rFonts w:eastAsia="Times New Roman" w:cs="Times New Roman"/>
          <w:b/>
          <w:i/>
          <w:color w:val="000000"/>
          <w:sz w:val="18"/>
          <w:lang w:val="en-US" w:eastAsia="ru-RU"/>
        </w:rPr>
        <w:t>. 26.08.25 ՀՊՈ-59</w:t>
      </w:r>
      <w:r w:rsidRPr="00706581">
        <w:rPr>
          <w:rFonts w:eastAsia="Times New Roman" w:cs="Times New Roman"/>
          <w:b/>
          <w:i/>
          <w:color w:val="000000"/>
          <w:sz w:val="18"/>
          <w:lang w:val="en-US" w:eastAsia="ru-RU"/>
        </w:rPr>
        <w:t>-Լ)</w:t>
      </w:r>
    </w:p>
    <w:p w14:paraId="28148C94" w14:textId="77777777" w:rsidR="003E5A5A" w:rsidRPr="00416147" w:rsidRDefault="003E5A5A" w:rsidP="003E5A5A">
      <w:pPr>
        <w:tabs>
          <w:tab w:val="left" w:pos="2043"/>
        </w:tabs>
        <w:spacing w:after="0" w:line="276" w:lineRule="auto"/>
        <w:jc w:val="right"/>
        <w:rPr>
          <w:rFonts w:eastAsiaTheme="minorEastAsia" w:cs="Times New Roman"/>
          <w:sz w:val="20"/>
          <w:szCs w:val="20"/>
        </w:rPr>
      </w:pPr>
    </w:p>
    <w:p w14:paraId="3761DCDD" w14:textId="77777777" w:rsidR="003E5A5A" w:rsidRPr="00416147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Calibri"/>
          <w:b/>
          <w:lang w:val="hy-AM" w:bidi="hi-IN"/>
        </w:rPr>
      </w:pPr>
      <w:r w:rsidRPr="00416147">
        <w:rPr>
          <w:rFonts w:eastAsiaTheme="minorEastAsia" w:cs="Calibri"/>
          <w:b/>
          <w:lang w:bidi="hi-IN"/>
        </w:rPr>
        <w:t xml:space="preserve">- </w:t>
      </w:r>
      <w:r w:rsidRPr="00416147">
        <w:rPr>
          <w:rFonts w:eastAsiaTheme="minorEastAsia" w:cs="Calibri"/>
          <w:b/>
          <w:lang w:val="hy-AM" w:bidi="hi-IN"/>
        </w:rPr>
        <w:t>ԹԵՄԱՏԻԿ ՀԱՇՎԵՔՆՆՈՒԹՅՈՒՆՆԵՐ</w:t>
      </w:r>
    </w:p>
    <w:p w14:paraId="4062CE9F" w14:textId="77777777" w:rsidR="003E5A5A" w:rsidRPr="00416147" w:rsidRDefault="003E5A5A" w:rsidP="003E5A5A">
      <w:pPr>
        <w:tabs>
          <w:tab w:val="left" w:pos="2043"/>
        </w:tabs>
        <w:spacing w:after="0" w:line="276" w:lineRule="auto"/>
        <w:jc w:val="right"/>
        <w:rPr>
          <w:rFonts w:eastAsiaTheme="minorEastAsia" w:cs="Times New Roman"/>
          <w:sz w:val="20"/>
          <w:szCs w:val="20"/>
        </w:rPr>
      </w:pPr>
    </w:p>
    <w:p w14:paraId="299D766A" w14:textId="77777777" w:rsidR="003E5A5A" w:rsidRPr="00416147" w:rsidRDefault="003E5A5A" w:rsidP="003E5A5A">
      <w:pPr>
        <w:tabs>
          <w:tab w:val="left" w:pos="2043"/>
        </w:tabs>
        <w:spacing w:after="0" w:line="276" w:lineRule="auto"/>
        <w:jc w:val="right"/>
        <w:rPr>
          <w:rFonts w:eastAsiaTheme="minorEastAsia" w:cs="Times New Roman"/>
          <w:sz w:val="2"/>
          <w:szCs w:val="20"/>
        </w:rPr>
      </w:pPr>
    </w:p>
    <w:tbl>
      <w:tblPr>
        <w:tblStyle w:val="TableGrid"/>
        <w:tblW w:w="10635" w:type="dxa"/>
        <w:tblInd w:w="-431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2250"/>
        <w:gridCol w:w="1800"/>
        <w:gridCol w:w="1800"/>
        <w:gridCol w:w="1815"/>
      </w:tblGrid>
      <w:tr w:rsidR="003E5A5A" w:rsidRPr="009B5456" w14:paraId="3BB19C93" w14:textId="77777777" w:rsidTr="002932CA">
        <w:trPr>
          <w:trHeight w:val="1033"/>
        </w:trPr>
        <w:tc>
          <w:tcPr>
            <w:tcW w:w="810" w:type="dxa"/>
            <w:shd w:val="clear" w:color="auto" w:fill="8EAADB" w:themeFill="accent1" w:themeFillTint="99"/>
            <w:vAlign w:val="center"/>
          </w:tcPr>
          <w:p w14:paraId="18D49362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E26C608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օբյեկտ</w:t>
            </w:r>
            <w:proofErr w:type="spellEnd"/>
          </w:p>
        </w:tc>
        <w:tc>
          <w:tcPr>
            <w:tcW w:w="2250" w:type="dxa"/>
            <w:shd w:val="clear" w:color="auto" w:fill="8EAADB" w:themeFill="accent1" w:themeFillTint="99"/>
            <w:vAlign w:val="center"/>
          </w:tcPr>
          <w:p w14:paraId="2087F9E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առարկա</w:t>
            </w:r>
            <w:proofErr w:type="spellEnd"/>
          </w:p>
        </w:tc>
        <w:tc>
          <w:tcPr>
            <w:tcW w:w="1800" w:type="dxa"/>
            <w:shd w:val="clear" w:color="auto" w:fill="8EAADB" w:themeFill="accent1" w:themeFillTint="99"/>
            <w:vAlign w:val="center"/>
          </w:tcPr>
          <w:p w14:paraId="1B8BA47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տեսակ</w:t>
            </w:r>
            <w:proofErr w:type="spellEnd"/>
          </w:p>
        </w:tc>
        <w:tc>
          <w:tcPr>
            <w:tcW w:w="1800" w:type="dxa"/>
            <w:shd w:val="clear" w:color="auto" w:fill="8EAADB" w:themeFill="accent1" w:themeFillTint="99"/>
            <w:vAlign w:val="center"/>
          </w:tcPr>
          <w:p w14:paraId="5731E30A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1815" w:type="dxa"/>
            <w:shd w:val="clear" w:color="auto" w:fill="8EAADB" w:themeFill="accent1" w:themeFillTint="99"/>
            <w:vAlign w:val="center"/>
          </w:tcPr>
          <w:p w14:paraId="2FDFE71A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իրականացման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ժամկետ</w:t>
            </w:r>
            <w:proofErr w:type="spellEnd"/>
          </w:p>
        </w:tc>
      </w:tr>
      <w:tr w:rsidR="003E5A5A" w:rsidRPr="009B5456" w14:paraId="405B0F77" w14:textId="77777777" w:rsidTr="002932CA">
        <w:trPr>
          <w:trHeight w:val="604"/>
        </w:trPr>
        <w:tc>
          <w:tcPr>
            <w:tcW w:w="810" w:type="dxa"/>
            <w:shd w:val="clear" w:color="auto" w:fill="D9E2F3" w:themeFill="accent1" w:themeFillTint="33"/>
            <w:vAlign w:val="center"/>
          </w:tcPr>
          <w:p w14:paraId="27D07BD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9B5456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042C7334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384C41E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6089BEC5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F6862B6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1815" w:type="dxa"/>
            <w:shd w:val="clear" w:color="auto" w:fill="D9E2F3" w:themeFill="accent1" w:themeFillTint="33"/>
            <w:vAlign w:val="center"/>
          </w:tcPr>
          <w:p w14:paraId="029F9D1D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</w:tr>
    </w:tbl>
    <w:p w14:paraId="006D2F57" w14:textId="77777777" w:rsidR="003E5A5A" w:rsidRPr="009B5456" w:rsidRDefault="003E5A5A" w:rsidP="003E5A5A">
      <w:pPr>
        <w:tabs>
          <w:tab w:val="left" w:pos="2043"/>
        </w:tabs>
        <w:spacing w:after="0" w:line="276" w:lineRule="auto"/>
        <w:jc w:val="right"/>
        <w:rPr>
          <w:rFonts w:eastAsiaTheme="minorEastAsia" w:cs="Times New Roman"/>
          <w:b/>
          <w:sz w:val="20"/>
          <w:szCs w:val="20"/>
        </w:rPr>
      </w:pPr>
    </w:p>
    <w:p w14:paraId="77BDBE52" w14:textId="77777777" w:rsidR="003E5A5A" w:rsidRPr="009B5456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Times New Roman"/>
          <w:b/>
          <w:szCs w:val="20"/>
          <w:u w:val="single"/>
          <w:lang w:val="en-GB"/>
        </w:rPr>
      </w:pPr>
      <w:r w:rsidRPr="009B5456">
        <w:rPr>
          <w:rFonts w:eastAsiaTheme="minorEastAsia" w:cs="Times New Roman"/>
          <w:b/>
          <w:szCs w:val="20"/>
          <w:u w:val="single"/>
          <w:lang w:val="en-GB"/>
        </w:rPr>
        <w:t>2-ՐԴ ԲԱԺԻՆ</w:t>
      </w:r>
    </w:p>
    <w:p w14:paraId="453B45F4" w14:textId="77777777" w:rsidR="003E5A5A" w:rsidRPr="009B5456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Times New Roman"/>
          <w:b/>
          <w:szCs w:val="20"/>
          <w:lang w:val="en-GB"/>
        </w:rPr>
      </w:pPr>
      <w:r w:rsidRPr="009B5456">
        <w:rPr>
          <w:rFonts w:eastAsiaTheme="minorEastAsia" w:cs="Times New Roman"/>
          <w:b/>
          <w:szCs w:val="20"/>
          <w:lang w:val="en-GB"/>
        </w:rPr>
        <w:t>ՄԻՋԱԶԳԱՅԻՆ ՀԱՄԱՁԱՅՆԱԳՐԵՐ ԵՎ ՍՏԱՆՁՆԱԾ ՊԱՐՏԱՎՈՐՈՒԹՅՈՒՆՆԵՐԻ ԿԱՏԱՐՄԱՆՆ ՈՒՂՂՎԱԾ ՄԻՋՈՑԱՌՈՒՄՆԵՐ</w:t>
      </w:r>
    </w:p>
    <w:p w14:paraId="0DF771E4" w14:textId="77777777" w:rsidR="003E5A5A" w:rsidRPr="009B5456" w:rsidRDefault="003E5A5A" w:rsidP="003E5A5A">
      <w:pPr>
        <w:tabs>
          <w:tab w:val="left" w:pos="2043"/>
        </w:tabs>
        <w:spacing w:after="0" w:line="276" w:lineRule="auto"/>
        <w:jc w:val="right"/>
        <w:rPr>
          <w:rFonts w:eastAsiaTheme="minorEastAsia" w:cs="Times New Roman"/>
          <w:sz w:val="20"/>
          <w:szCs w:val="20"/>
        </w:rPr>
      </w:pPr>
    </w:p>
    <w:tbl>
      <w:tblPr>
        <w:tblStyle w:val="TableGrid"/>
        <w:tblW w:w="10710" w:type="dxa"/>
        <w:tblInd w:w="-431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58"/>
        <w:gridCol w:w="2693"/>
        <w:gridCol w:w="2619"/>
      </w:tblGrid>
      <w:tr w:rsidR="003E5A5A" w:rsidRPr="009B5456" w14:paraId="7FA025D9" w14:textId="77777777" w:rsidTr="002932CA">
        <w:trPr>
          <w:trHeight w:val="802"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68D8FFE8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4858" w:type="dxa"/>
            <w:shd w:val="clear" w:color="auto" w:fill="8EAADB" w:themeFill="accent1" w:themeFillTint="99"/>
            <w:vAlign w:val="center"/>
          </w:tcPr>
          <w:p w14:paraId="67DE5D71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Միջոցառման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անվանում</w:t>
            </w:r>
            <w:proofErr w:type="spellEnd"/>
          </w:p>
        </w:tc>
        <w:tc>
          <w:tcPr>
            <w:tcW w:w="2693" w:type="dxa"/>
            <w:shd w:val="clear" w:color="auto" w:fill="8EAADB" w:themeFill="accent1" w:themeFillTint="99"/>
            <w:vAlign w:val="center"/>
          </w:tcPr>
          <w:p w14:paraId="58B3A30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2619" w:type="dxa"/>
            <w:shd w:val="clear" w:color="auto" w:fill="8EAADB" w:themeFill="accent1" w:themeFillTint="99"/>
            <w:vAlign w:val="center"/>
          </w:tcPr>
          <w:p w14:paraId="7E82EBE1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 xml:space="preserve">Իրականացման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Ժամկետ</w:t>
            </w:r>
            <w:proofErr w:type="spellEnd"/>
          </w:p>
        </w:tc>
      </w:tr>
      <w:tr w:rsidR="003E5A5A" w:rsidRPr="009B5456" w14:paraId="36442F71" w14:textId="77777777" w:rsidTr="002932CA">
        <w:trPr>
          <w:trHeight w:val="269"/>
        </w:trPr>
        <w:tc>
          <w:tcPr>
            <w:tcW w:w="540" w:type="dxa"/>
          </w:tcPr>
          <w:p w14:paraId="3DD8F3A3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9B5456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9B5456">
              <w:rPr>
                <w:rFonts w:ascii="MS Mincho" w:eastAsia="MS Mincho" w:hAnsi="MS Mincho" w:cs="MS Mincho" w:hint="eastAsia"/>
                <w:sz w:val="20"/>
                <w:szCs w:val="20"/>
                <w:lang w:bidi="hi-IN"/>
              </w:rPr>
              <w:t>․</w:t>
            </w:r>
          </w:p>
        </w:tc>
        <w:tc>
          <w:tcPr>
            <w:tcW w:w="4858" w:type="dxa"/>
          </w:tcPr>
          <w:p w14:paraId="47078D28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2693" w:type="dxa"/>
          </w:tcPr>
          <w:p w14:paraId="07BF0250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  <w:tc>
          <w:tcPr>
            <w:tcW w:w="2619" w:type="dxa"/>
          </w:tcPr>
          <w:p w14:paraId="45C8752E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</w:tr>
    </w:tbl>
    <w:p w14:paraId="70DCD1B2" w14:textId="77777777" w:rsidR="003E5A5A" w:rsidRPr="009B5456" w:rsidRDefault="003E5A5A" w:rsidP="003E5A5A">
      <w:pPr>
        <w:tabs>
          <w:tab w:val="left" w:pos="284"/>
        </w:tabs>
        <w:spacing w:after="0" w:line="276" w:lineRule="auto"/>
        <w:contextualSpacing/>
        <w:rPr>
          <w:rFonts w:eastAsiaTheme="minorEastAsia" w:cs="Times New Roman"/>
          <w:b/>
          <w:szCs w:val="20"/>
          <w:lang w:val="en-GB"/>
        </w:rPr>
      </w:pPr>
    </w:p>
    <w:p w14:paraId="62659D16" w14:textId="77777777" w:rsidR="003E5A5A" w:rsidRPr="009B5456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Times New Roman"/>
          <w:b/>
          <w:szCs w:val="20"/>
          <w:u w:val="single"/>
          <w:lang w:val="en-GB"/>
        </w:rPr>
      </w:pPr>
      <w:r w:rsidRPr="009B5456">
        <w:rPr>
          <w:rFonts w:eastAsiaTheme="minorEastAsia" w:cs="Times New Roman"/>
          <w:b/>
          <w:szCs w:val="20"/>
          <w:u w:val="single"/>
          <w:lang w:val="en-GB"/>
        </w:rPr>
        <w:t>3-ՐԴ ԲԱԺԻՆ</w:t>
      </w:r>
    </w:p>
    <w:p w14:paraId="6F4845E8" w14:textId="77777777" w:rsidR="003E5A5A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Times New Roman"/>
          <w:b/>
          <w:szCs w:val="20"/>
        </w:rPr>
      </w:pPr>
      <w:r w:rsidRPr="009B5456">
        <w:rPr>
          <w:rFonts w:eastAsiaTheme="minorEastAsia" w:cs="Times New Roman"/>
          <w:b/>
          <w:szCs w:val="20"/>
          <w:lang w:val="en-GB"/>
        </w:rPr>
        <w:t xml:space="preserve">ՀԱՇՎԵՔՆՆԻՉ ՊԱԼԱՏԻ </w:t>
      </w:r>
      <w:r w:rsidRPr="009B5456">
        <w:rPr>
          <w:rFonts w:eastAsiaTheme="minorEastAsia" w:cs="Times New Roman"/>
          <w:b/>
          <w:szCs w:val="20"/>
          <w:lang w:val="hy-AM"/>
        </w:rPr>
        <w:t>ԶԱՐԳԱՑՄԱՆ ԾՐԱԳՐԵՐ</w:t>
      </w:r>
      <w:r w:rsidRPr="009B5456">
        <w:rPr>
          <w:rFonts w:eastAsiaTheme="minorEastAsia" w:cs="Times New Roman"/>
          <w:b/>
          <w:szCs w:val="20"/>
        </w:rPr>
        <w:t>ՈՎ ՆԱԽԱՏԵՍՎԱԾ ՄԻՋՈՑԱՌՈՒՄՆԵՐ</w:t>
      </w:r>
    </w:p>
    <w:p w14:paraId="42AECB38" w14:textId="77777777" w:rsidR="003E5A5A" w:rsidRPr="009B5456" w:rsidRDefault="003E5A5A" w:rsidP="003E5A5A">
      <w:pPr>
        <w:tabs>
          <w:tab w:val="left" w:pos="284"/>
        </w:tabs>
        <w:spacing w:after="0" w:line="240" w:lineRule="auto"/>
        <w:contextualSpacing/>
        <w:rPr>
          <w:rFonts w:eastAsiaTheme="minorEastAsia" w:cs="Times New Roman"/>
          <w:b/>
          <w:szCs w:val="20"/>
        </w:rPr>
      </w:pPr>
    </w:p>
    <w:tbl>
      <w:tblPr>
        <w:tblStyle w:val="TableGrid"/>
        <w:tblW w:w="10710" w:type="dxa"/>
        <w:tblInd w:w="-431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58"/>
        <w:gridCol w:w="2693"/>
        <w:gridCol w:w="2619"/>
      </w:tblGrid>
      <w:tr w:rsidR="003E5A5A" w:rsidRPr="009B5456" w14:paraId="62D1693A" w14:textId="77777777" w:rsidTr="002932CA">
        <w:trPr>
          <w:trHeight w:val="802"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6B6F996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4858" w:type="dxa"/>
            <w:shd w:val="clear" w:color="auto" w:fill="8EAADB" w:themeFill="accent1" w:themeFillTint="99"/>
            <w:vAlign w:val="center"/>
          </w:tcPr>
          <w:p w14:paraId="7491CBF3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Միջոցառման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անվանում</w:t>
            </w:r>
            <w:proofErr w:type="spellEnd"/>
          </w:p>
        </w:tc>
        <w:tc>
          <w:tcPr>
            <w:tcW w:w="2693" w:type="dxa"/>
            <w:shd w:val="clear" w:color="auto" w:fill="8EAADB" w:themeFill="accent1" w:themeFillTint="99"/>
            <w:vAlign w:val="center"/>
          </w:tcPr>
          <w:p w14:paraId="184A2F07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</w:t>
            </w:r>
            <w:proofErr w:type="spellEnd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2619" w:type="dxa"/>
            <w:shd w:val="clear" w:color="auto" w:fill="8EAADB" w:themeFill="accent1" w:themeFillTint="99"/>
            <w:vAlign w:val="center"/>
          </w:tcPr>
          <w:p w14:paraId="70FADBDC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9B545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 xml:space="preserve">Իրականացման </w:t>
            </w:r>
            <w:proofErr w:type="spellStart"/>
            <w:r w:rsidRPr="009B5456">
              <w:rPr>
                <w:rFonts w:ascii="GHEA Grapalat" w:hAnsi="GHEA Grapalat" w:cs="Calibri"/>
                <w:sz w:val="18"/>
                <w:szCs w:val="18"/>
                <w:lang w:bidi="hi-IN"/>
              </w:rPr>
              <w:t>Ժամկետ</w:t>
            </w:r>
            <w:proofErr w:type="spellEnd"/>
          </w:p>
        </w:tc>
      </w:tr>
      <w:tr w:rsidR="003E5A5A" w:rsidRPr="009B5456" w14:paraId="58EF45F5" w14:textId="77777777" w:rsidTr="002932CA">
        <w:trPr>
          <w:trHeight w:val="269"/>
        </w:trPr>
        <w:tc>
          <w:tcPr>
            <w:tcW w:w="540" w:type="dxa"/>
          </w:tcPr>
          <w:p w14:paraId="16BEBBE7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9B5456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9B5456">
              <w:rPr>
                <w:rFonts w:ascii="MS Mincho" w:eastAsia="MS Mincho" w:hAnsi="MS Mincho" w:cs="MS Mincho" w:hint="eastAsia"/>
                <w:sz w:val="20"/>
                <w:szCs w:val="20"/>
                <w:lang w:bidi="hi-IN"/>
              </w:rPr>
              <w:t>․</w:t>
            </w:r>
          </w:p>
        </w:tc>
        <w:tc>
          <w:tcPr>
            <w:tcW w:w="4858" w:type="dxa"/>
          </w:tcPr>
          <w:p w14:paraId="2E3B3AA0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hi-IN"/>
              </w:rPr>
            </w:pPr>
          </w:p>
        </w:tc>
        <w:tc>
          <w:tcPr>
            <w:tcW w:w="2693" w:type="dxa"/>
          </w:tcPr>
          <w:p w14:paraId="3144DE53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 w:bidi="hi-IN"/>
              </w:rPr>
            </w:pPr>
          </w:p>
        </w:tc>
        <w:tc>
          <w:tcPr>
            <w:tcW w:w="2619" w:type="dxa"/>
          </w:tcPr>
          <w:p w14:paraId="3A11D398" w14:textId="77777777" w:rsidR="003E5A5A" w:rsidRPr="009B5456" w:rsidRDefault="003E5A5A" w:rsidP="002932CA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</w:p>
        </w:tc>
      </w:tr>
    </w:tbl>
    <w:p w14:paraId="6E5BBCBD" w14:textId="77777777" w:rsidR="003E5A5A" w:rsidRDefault="003E5A5A" w:rsidP="003E5A5A">
      <w:pPr>
        <w:tabs>
          <w:tab w:val="left" w:pos="993"/>
        </w:tabs>
        <w:spacing w:after="0" w:line="360" w:lineRule="auto"/>
        <w:jc w:val="right"/>
        <w:rPr>
          <w:i/>
          <w:iCs/>
          <w:lang w:val="hy-AM"/>
        </w:rPr>
      </w:pPr>
    </w:p>
    <w:p w14:paraId="50649EB6" w14:textId="77777777" w:rsidR="003E5A5A" w:rsidRPr="009B5456" w:rsidRDefault="003E5A5A" w:rsidP="003E5A5A">
      <w:pPr>
        <w:jc w:val="right"/>
        <w:rPr>
          <w:i/>
          <w:iCs/>
        </w:rPr>
      </w:pPr>
      <w:r>
        <w:rPr>
          <w:i/>
          <w:iCs/>
          <w:lang w:val="hy-AM"/>
        </w:rPr>
        <w:br w:type="page"/>
      </w:r>
      <w:r w:rsidRPr="009B5456">
        <w:rPr>
          <w:i/>
          <w:iCs/>
          <w:lang w:val="hy-AM"/>
        </w:rPr>
        <w:t xml:space="preserve">Ձև </w:t>
      </w:r>
      <w:r w:rsidRPr="009B5456">
        <w:rPr>
          <w:i/>
          <w:iCs/>
        </w:rPr>
        <w:t>3</w:t>
      </w:r>
    </w:p>
    <w:p w14:paraId="3F29964A" w14:textId="77777777" w:rsidR="003E5A5A" w:rsidRPr="009B5456" w:rsidRDefault="003E5A5A" w:rsidP="003E5A5A">
      <w:pPr>
        <w:spacing w:before="60" w:after="120"/>
        <w:jc w:val="center"/>
        <w:rPr>
          <w:b/>
        </w:rPr>
      </w:pPr>
      <w:r w:rsidRPr="009B5456">
        <w:rPr>
          <w:b/>
        </w:rPr>
        <w:t>ՀԻՄՆԱՎՈՐՈՒՄ</w:t>
      </w:r>
    </w:p>
    <w:p w14:paraId="39777D7C" w14:textId="77777777" w:rsidR="003E5A5A" w:rsidRDefault="003E5A5A" w:rsidP="003E5A5A">
      <w:pPr>
        <w:spacing w:after="0" w:line="240" w:lineRule="auto"/>
        <w:jc w:val="center"/>
        <w:rPr>
          <w:b/>
        </w:rPr>
      </w:pPr>
      <w:r w:rsidRPr="009B5456">
        <w:rPr>
          <w:b/>
        </w:rPr>
        <w:t>ՀԱՇՎԵՔՆՆԻՉ ՊԱԼԱՏԻ ԳՈՐԾՈՒՆԵՈՒԹՅԱՆ ԾՐԱԳՐԱՅԻՆ ԿԵՏԵՐԻ ԵՎ ՀԱՇՎԵՔՆՆՈՒԹՅԱՆ ՄԻՋՆԱԺԱՄԿԵՏ ԱՌԱՋՆԱՀԵՐԹՈՒԹՅԱՆ ԱՌԱՋԱՐԿԻ</w:t>
      </w:r>
    </w:p>
    <w:p w14:paraId="3815C767" w14:textId="77777777" w:rsidR="003E5A5A" w:rsidRPr="009B5456" w:rsidRDefault="003E5A5A" w:rsidP="003E5A5A">
      <w:pPr>
        <w:spacing w:after="0" w:line="240" w:lineRule="auto"/>
        <w:jc w:val="center"/>
        <w:rPr>
          <w:rFonts w:eastAsia="Times New Roman" w:cs="Times New Roman"/>
          <w:noProof/>
          <w:sz w:val="22"/>
          <w:szCs w:val="22"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2455"/>
        <w:gridCol w:w="4408"/>
        <w:gridCol w:w="1132"/>
        <w:gridCol w:w="1503"/>
      </w:tblGrid>
      <w:tr w:rsidR="003E5A5A" w:rsidRPr="009B5456" w14:paraId="7B8806BD" w14:textId="77777777" w:rsidTr="002932CA">
        <w:trPr>
          <w:jc w:val="center"/>
        </w:trPr>
        <w:tc>
          <w:tcPr>
            <w:tcW w:w="2455" w:type="dxa"/>
            <w:shd w:val="clear" w:color="auto" w:fill="D9D9D9" w:themeFill="background1" w:themeFillShade="D9"/>
          </w:tcPr>
          <w:p w14:paraId="368F8D97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Հաշվեքննության առաջարկվող ուղղություն` </w:t>
            </w:r>
            <w:r w:rsidRPr="009B5456">
              <w:rPr>
                <w:rFonts w:ascii="GHEA Grapalat" w:hAnsi="GHEA Grapalat" w:cs="Tahoma"/>
                <w:noProof/>
                <w:sz w:val="18"/>
                <w:szCs w:val="18"/>
              </w:rPr>
              <w:t>(ծրագրային կետ)</w:t>
            </w:r>
          </w:p>
        </w:tc>
        <w:tc>
          <w:tcPr>
            <w:tcW w:w="4408" w:type="dxa"/>
          </w:tcPr>
          <w:p w14:paraId="3C37A529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14:paraId="3DC7DE6D" w14:textId="77777777" w:rsidR="003E5A5A" w:rsidRPr="009B5456" w:rsidRDefault="003E5A5A" w:rsidP="002932CA">
            <w:pPr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Ամսաթիվ`</w:t>
            </w:r>
          </w:p>
        </w:tc>
        <w:tc>
          <w:tcPr>
            <w:tcW w:w="1503" w:type="dxa"/>
          </w:tcPr>
          <w:p w14:paraId="37ACCED8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  <w:tr w:rsidR="003E5A5A" w:rsidRPr="009B5456" w14:paraId="3D077689" w14:textId="77777777" w:rsidTr="002932CA">
        <w:trPr>
          <w:jc w:val="center"/>
        </w:trPr>
        <w:tc>
          <w:tcPr>
            <w:tcW w:w="2455" w:type="dxa"/>
            <w:shd w:val="clear" w:color="auto" w:fill="D9D9D9" w:themeFill="background1" w:themeFillShade="D9"/>
          </w:tcPr>
          <w:p w14:paraId="2C776B6F" w14:textId="77777777" w:rsidR="003E5A5A" w:rsidRPr="009B5456" w:rsidRDefault="003E5A5A" w:rsidP="002932CA">
            <w:pPr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Կապը հաշվեքննության 2025-2027թթ. առաջնահերթությունների նախագծի հետ</w:t>
            </w:r>
          </w:p>
        </w:tc>
        <w:tc>
          <w:tcPr>
            <w:tcW w:w="7043" w:type="dxa"/>
            <w:gridSpan w:val="3"/>
          </w:tcPr>
          <w:p w14:paraId="7C615504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  <w:tr w:rsidR="003E5A5A" w:rsidRPr="009B5456" w14:paraId="2238A5BB" w14:textId="77777777" w:rsidTr="002932CA">
        <w:trPr>
          <w:jc w:val="center"/>
        </w:trPr>
        <w:tc>
          <w:tcPr>
            <w:tcW w:w="2455" w:type="dxa"/>
            <w:shd w:val="clear" w:color="auto" w:fill="D9D9D9" w:themeFill="background1" w:themeFillShade="D9"/>
          </w:tcPr>
          <w:p w14:paraId="625B37D0" w14:textId="77777777" w:rsidR="003E5A5A" w:rsidRPr="009B5456" w:rsidRDefault="003E5A5A" w:rsidP="002932CA">
            <w:pPr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Առաջարկի հեղինակ՝</w:t>
            </w:r>
          </w:p>
        </w:tc>
        <w:tc>
          <w:tcPr>
            <w:tcW w:w="7043" w:type="dxa"/>
            <w:gridSpan w:val="3"/>
          </w:tcPr>
          <w:p w14:paraId="607922CB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</w:tbl>
    <w:p w14:paraId="723AC48E" w14:textId="77777777" w:rsidR="003E5A5A" w:rsidRPr="009B5456" w:rsidRDefault="003E5A5A" w:rsidP="003E5A5A">
      <w:pPr>
        <w:spacing w:before="200" w:line="240" w:lineRule="auto"/>
        <w:rPr>
          <w:rFonts w:eastAsia="Times New Roman" w:cs="Tahoma"/>
          <w:noProof/>
          <w:sz w:val="22"/>
          <w:szCs w:val="22"/>
        </w:rPr>
      </w:pPr>
    </w:p>
    <w:p w14:paraId="539382AE" w14:textId="77777777" w:rsidR="003E5A5A" w:rsidRPr="009B5456" w:rsidRDefault="003E5A5A" w:rsidP="003E5A5A">
      <w:pPr>
        <w:spacing w:before="200" w:line="240" w:lineRule="auto"/>
        <w:rPr>
          <w:rFonts w:eastAsia="Times New Roman" w:cs="Times New Roman"/>
          <w:b/>
          <w:noProof/>
          <w:sz w:val="22"/>
          <w:szCs w:val="22"/>
        </w:rPr>
      </w:pPr>
      <w:r w:rsidRPr="009B5456">
        <w:rPr>
          <w:rFonts w:eastAsia="Times New Roman" w:cs="Tahoma"/>
          <w:b/>
          <w:noProof/>
          <w:sz w:val="22"/>
          <w:szCs w:val="22"/>
        </w:rPr>
        <w:t>Հիմնավորում</w:t>
      </w:r>
    </w:p>
    <w:tbl>
      <w:tblPr>
        <w:tblStyle w:val="TableGrid"/>
        <w:tblW w:w="949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</w:tblGrid>
      <w:tr w:rsidR="003E5A5A" w:rsidRPr="009B5456" w14:paraId="460BCE49" w14:textId="77777777" w:rsidTr="002932CA">
        <w:trPr>
          <w:trHeight w:val="241"/>
          <w:jc w:val="center"/>
        </w:trPr>
        <w:tc>
          <w:tcPr>
            <w:tcW w:w="9493" w:type="dxa"/>
            <w:shd w:val="clear" w:color="auto" w:fill="D9D9D9" w:themeFill="background1" w:themeFillShade="D9"/>
          </w:tcPr>
          <w:p w14:paraId="5D093A3B" w14:textId="77777777" w:rsidR="003E5A5A" w:rsidRPr="009B5456" w:rsidRDefault="003E5A5A" w:rsidP="002932CA">
            <w:pPr>
              <w:contextualSpacing/>
              <w:rPr>
                <w:rFonts w:ascii="GHEA Grapalat" w:eastAsia="Times New Roman" w:hAnsi="GHEA Grapalat" w:cs="Arial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  <w:t xml:space="preserve">Հաշվեքննության տվյալ ուղղության </w:t>
            </w:r>
            <w:r w:rsidRPr="009B5456">
              <w:rPr>
                <w:rFonts w:ascii="GHEA Grapalat" w:hAnsi="GHEA Grapalat" w:cs="Tahoma"/>
                <w:b/>
                <w:bCs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  <w:t xml:space="preserve"> առաջադրման հիմնական պատճառները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– ամփոփ նկարագրություն առաջարկվող ուղղությամբ </w:t>
            </w:r>
            <w:r w:rsidRPr="009B5456">
              <w:rPr>
                <w:rFonts w:ascii="GHEA Grapalat" w:hAnsi="GHEA Grapalat" w:cs="Tahoma"/>
                <w:i/>
                <w:iCs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  <w:lang w:val="hy-AM"/>
              </w:rPr>
              <w:t xml:space="preserve">օրինականության, 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կատարողականի առկա հիմնական պրոբլեմների, արդյունավետության (նպատակային, </w:t>
            </w:r>
            <w:r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ռեսուրսային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արդյունավետության և տնտեսման սկզբունքների պահպանման) հիմնական ռիսկերի մասին, որոնք պայմանավորում են հաշվեքննության իրականացման անհրաժեշտությունը</w:t>
            </w:r>
            <w:r w:rsidRPr="009B5456">
              <w:rPr>
                <w:rFonts w:ascii="GHEA Grapalat" w:eastAsia="Times New Roman" w:hAnsi="GHEA Grapalat" w:cs="Arial"/>
                <w:i/>
                <w:noProof/>
                <w:sz w:val="18"/>
                <w:szCs w:val="18"/>
              </w:rPr>
              <w:t>:</w:t>
            </w:r>
          </w:p>
        </w:tc>
      </w:tr>
      <w:tr w:rsidR="003E5A5A" w:rsidRPr="009B5456" w14:paraId="047AC9C7" w14:textId="77777777" w:rsidTr="002932CA">
        <w:trPr>
          <w:jc w:val="center"/>
        </w:trPr>
        <w:tc>
          <w:tcPr>
            <w:tcW w:w="9493" w:type="dxa"/>
          </w:tcPr>
          <w:p w14:paraId="4DF5B317" w14:textId="77777777" w:rsidR="003E5A5A" w:rsidRPr="009B5456" w:rsidRDefault="003E5A5A" w:rsidP="002932CA">
            <w:pPr>
              <w:rPr>
                <w:rFonts w:ascii="GHEA Grapalat" w:eastAsia="Times New Roman" w:hAnsi="GHEA Grapalat"/>
                <w:i/>
                <w:noProof/>
              </w:rPr>
            </w:pPr>
            <w:r w:rsidRPr="009B5456">
              <w:rPr>
                <w:rFonts w:ascii="GHEA Grapalat" w:eastAsia="Times New Roman" w:hAnsi="GHEA Grapalat"/>
                <w:i/>
                <w:noProof/>
              </w:rPr>
              <w:t>Մեկնաբանություններ</w:t>
            </w:r>
          </w:p>
          <w:p w14:paraId="65E45AC3" w14:textId="77777777" w:rsidR="003E5A5A" w:rsidRPr="009B5456" w:rsidRDefault="003E5A5A" w:rsidP="002932CA">
            <w:pPr>
              <w:rPr>
                <w:rFonts w:ascii="GHEA Grapalat" w:eastAsia="Times New Roman" w:hAnsi="GHEA Grapalat"/>
                <w:i/>
                <w:noProof/>
              </w:rPr>
            </w:pPr>
          </w:p>
        </w:tc>
      </w:tr>
      <w:tr w:rsidR="003E5A5A" w:rsidRPr="009B5456" w14:paraId="12B1BA96" w14:textId="77777777" w:rsidTr="002932CA">
        <w:trPr>
          <w:jc w:val="center"/>
        </w:trPr>
        <w:tc>
          <w:tcPr>
            <w:tcW w:w="9493" w:type="dxa"/>
            <w:shd w:val="clear" w:color="auto" w:fill="D9D9D9" w:themeFill="background1" w:themeFillShade="D9"/>
          </w:tcPr>
          <w:p w14:paraId="759B9016" w14:textId="77777777" w:rsidR="003E5A5A" w:rsidRPr="009B5456" w:rsidRDefault="003E5A5A" w:rsidP="002932CA">
            <w:pPr>
              <w:rPr>
                <w:rFonts w:ascii="GHEA Grapalat" w:eastAsia="Times New Roman" w:hAnsi="GHEA Grapalat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b/>
                <w:i/>
                <w:noProof/>
                <w:sz w:val="18"/>
                <w:szCs w:val="18"/>
              </w:rPr>
              <w:t xml:space="preserve">1. </w:t>
            </w:r>
            <w:r w:rsidRPr="009B5456"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  <w:t>Էականություն</w:t>
            </w:r>
          </w:p>
          <w:p w14:paraId="6BF3900E" w14:textId="77777777" w:rsidR="003E5A5A" w:rsidRPr="009B5456" w:rsidRDefault="003E5A5A" w:rsidP="002932CA">
            <w:pPr>
              <w:ind w:left="360"/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Հաշվեքննության առաջարկվող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 էականությունը գնահատելիս հաշվի առնվող գործոններն են.</w:t>
            </w:r>
          </w:p>
          <w:p w14:paraId="79EA50DC" w14:textId="77777777" w:rsidR="003E5A5A" w:rsidRPr="009B5456" w:rsidRDefault="003E5A5A" w:rsidP="002932CA">
            <w:pPr>
              <w:numPr>
                <w:ilvl w:val="0"/>
                <w:numId w:val="35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Առաջարկվող հաշվեքննության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 արդիականությունը (ժամանակին լինելը)</w:t>
            </w:r>
            <w:r w:rsidRPr="009B5456">
              <w:rPr>
                <w:rFonts w:ascii="GHEA Grapalat" w:eastAsia="Times New Roman" w:hAnsi="GHEA Grapalat" w:cs="Sylfaen"/>
                <w:i/>
                <w:noProof/>
                <w:sz w:val="18"/>
              </w:rPr>
              <w:t>:</w:t>
            </w:r>
          </w:p>
          <w:p w14:paraId="2D2CF7CB" w14:textId="77777777" w:rsidR="003E5A5A" w:rsidRPr="009B5456" w:rsidRDefault="003E5A5A" w:rsidP="002932CA">
            <w:pPr>
              <w:numPr>
                <w:ilvl w:val="0"/>
                <w:numId w:val="35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>Կատարողականի ռիսկերի էականությունը (ռիսկերի տեղի ունենալու հավանականությունը և դրսևորման դեպքում հնարավոր ազդեցությունը հաշվեքննության ենթակա մարմնի/ ծրագրի/ միջոցառման նպատակների իրագործելիության վրա):</w:t>
            </w:r>
          </w:p>
          <w:p w14:paraId="312AE191" w14:textId="77777777" w:rsidR="003E5A5A" w:rsidRPr="009B5456" w:rsidRDefault="003E5A5A" w:rsidP="002932CA">
            <w:pPr>
              <w:numPr>
                <w:ilvl w:val="0"/>
                <w:numId w:val="35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Առաջարկվող հաշվեքննության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 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սոցիալական էականությունը (նկատի ունենալով հանրային շահը, քաղաքացիների կամ գործարար համայնքի շրջանակը, որոնք առնչվում են առաջարկվող ուղղությանը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կետին)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>, ինչպես նաև թափանցիկության, հաշվետվողականության և լավ կառավարման ասպեկտները):</w:t>
            </w:r>
          </w:p>
          <w:p w14:paraId="551C41B4" w14:textId="77777777" w:rsidR="003E5A5A" w:rsidRPr="009B5456" w:rsidRDefault="003E5A5A" w:rsidP="002932CA">
            <w:pPr>
              <w:numPr>
                <w:ilvl w:val="0"/>
                <w:numId w:val="35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Առաջարկվող հաշվեքննության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 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>քաղաքականապես էականությունը (նկատի ունենալով պետության ռազմավարական և այլ փաստաթղթերով արտահայտված քաղաքականության միջոցառումների գերակայությունները):</w:t>
            </w:r>
          </w:p>
          <w:p w14:paraId="381181EA" w14:textId="77777777" w:rsidR="003E5A5A" w:rsidRPr="009B5456" w:rsidRDefault="003E5A5A" w:rsidP="002932CA">
            <w:pPr>
              <w:numPr>
                <w:ilvl w:val="0"/>
                <w:numId w:val="35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Առաջարկվող հաշվեքննության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</w:rPr>
              <w:t xml:space="preserve"> 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>ֆինանսական էականությունը (նկատի ունենալով բյուջետային ծախսերում, եկամուտներում, հանրային հատվածի ակտիվներում և/կամ պարտավորություններում տեսակարար կշիռը կամ բյուջեի էական փոփոխությունները):</w:t>
            </w:r>
          </w:p>
        </w:tc>
      </w:tr>
      <w:tr w:rsidR="003E5A5A" w:rsidRPr="009B5456" w14:paraId="33DF36F3" w14:textId="77777777" w:rsidTr="002932CA">
        <w:trPr>
          <w:jc w:val="center"/>
        </w:trPr>
        <w:tc>
          <w:tcPr>
            <w:tcW w:w="9493" w:type="dxa"/>
          </w:tcPr>
          <w:p w14:paraId="474FD865" w14:textId="77777777" w:rsidR="003E5A5A" w:rsidRPr="009B5456" w:rsidRDefault="003E5A5A" w:rsidP="002932CA">
            <w:pPr>
              <w:rPr>
                <w:rFonts w:ascii="GHEA Grapalat" w:eastAsia="Times New Roman" w:hAnsi="GHEA Grapalat"/>
                <w:i/>
                <w:noProof/>
              </w:rPr>
            </w:pPr>
            <w:r w:rsidRPr="009B5456">
              <w:rPr>
                <w:rFonts w:ascii="GHEA Grapalat" w:eastAsia="Times New Roman" w:hAnsi="GHEA Grapalat"/>
                <w:i/>
                <w:noProof/>
              </w:rPr>
              <w:t>Մեկնաբանություններ</w:t>
            </w:r>
          </w:p>
          <w:p w14:paraId="5D2D749B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  <w:tr w:rsidR="003E5A5A" w:rsidRPr="009B5456" w14:paraId="7E34C78E" w14:textId="77777777" w:rsidTr="002932CA">
        <w:trPr>
          <w:jc w:val="center"/>
        </w:trPr>
        <w:tc>
          <w:tcPr>
            <w:tcW w:w="9493" w:type="dxa"/>
            <w:shd w:val="clear" w:color="auto" w:fill="D9D9D9" w:themeFill="background1" w:themeFillShade="D9"/>
          </w:tcPr>
          <w:p w14:paraId="154BDD8C" w14:textId="77777777" w:rsidR="003E5A5A" w:rsidRPr="009B5456" w:rsidRDefault="003E5A5A" w:rsidP="002932CA">
            <w:pPr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b/>
                <w:i/>
                <w:noProof/>
                <w:sz w:val="18"/>
                <w:szCs w:val="18"/>
              </w:rPr>
              <w:t xml:space="preserve">2. </w:t>
            </w:r>
            <w:r w:rsidRPr="009B5456"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  <w:t xml:space="preserve">Հավելյալ արժեք ստեղծելու (փոփոխության) ներուժ </w:t>
            </w:r>
          </w:p>
          <w:p w14:paraId="1A7F1276" w14:textId="77777777" w:rsidR="003E5A5A" w:rsidRPr="009B5456" w:rsidRDefault="003E5A5A" w:rsidP="002932CA">
            <w:pPr>
              <w:ind w:left="360"/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Հաշվեքննության հնարավոր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 հավելյալ արժեք ստեղծելու ներուժը գնահատելիս հաշվի առնվող գործոններն են.</w:t>
            </w:r>
          </w:p>
          <w:p w14:paraId="17F4011A" w14:textId="77777777" w:rsidR="003E5A5A" w:rsidRPr="009B5456" w:rsidRDefault="003E5A5A" w:rsidP="002932CA">
            <w:pPr>
              <w:numPr>
                <w:ilvl w:val="0"/>
                <w:numId w:val="36"/>
              </w:numPr>
              <w:contextualSpacing/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Իրատեսական և նոր առաջարկություններ ներկայացնելու հնարավորությունը, որոնց իրագործումը կառաջացնի զգալի տնտեսումներ և/կամ զգալիորեն կբարելավի հաշվեքննության առարկային </w:t>
            </w:r>
            <w:r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ռեսուրսային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և/կամ նպատակային արդյունավետությունը:</w:t>
            </w:r>
          </w:p>
          <w:p w14:paraId="06DAF9D2" w14:textId="77777777" w:rsidR="003E5A5A" w:rsidRPr="009B5456" w:rsidRDefault="003E5A5A" w:rsidP="002932CA">
            <w:pPr>
              <w:numPr>
                <w:ilvl w:val="0"/>
                <w:numId w:val="36"/>
              </w:numPr>
              <w:contextualSpacing/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Հնարավորությունը, որ հաշվեքննությունը կհանգեցնի էական բարելավումների կատարողականի առկա պրոբլեմների և քաղաքացիներին ավելի լավ հանրային ծառայությունների մատուցման առումով (բացառությամբ՝ բյուջեի ավելացմամբ արդյունքների մեծացման ճանապարհով):</w:t>
            </w:r>
          </w:p>
          <w:p w14:paraId="19AEA9AF" w14:textId="77777777" w:rsidR="003E5A5A" w:rsidRPr="009B5456" w:rsidRDefault="003E5A5A" w:rsidP="002932CA">
            <w:pPr>
              <w:numPr>
                <w:ilvl w:val="0"/>
                <w:numId w:val="36"/>
              </w:numPr>
              <w:contextualSpacing/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Հնարավորությունը, որ հաշվեքննությունը կբարելավի հանրային հաշվետվողականությունը, թափանցիկությունը և հանրային (հաշվեքննության ենթակա մարմնի) կառավարումը:</w:t>
            </w:r>
          </w:p>
          <w:p w14:paraId="5CB0617C" w14:textId="77777777" w:rsidR="003E5A5A" w:rsidRPr="009B5456" w:rsidRDefault="003E5A5A" w:rsidP="002932CA">
            <w:pPr>
              <w:numPr>
                <w:ilvl w:val="0"/>
                <w:numId w:val="36"/>
              </w:numPr>
              <w:contextualSpacing/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Փոփոխությունների ներուժը սահմանափակող էական գործոնների առկայությունը (տեխնիկական, մարդկային ռեսուրսների, քաղաքական, ֆինանսական և այլն):</w:t>
            </w:r>
          </w:p>
          <w:p w14:paraId="7598B3C0" w14:textId="77777777" w:rsidR="003E5A5A" w:rsidRPr="009B5456" w:rsidRDefault="003E5A5A" w:rsidP="002932CA">
            <w:pPr>
              <w:numPr>
                <w:ilvl w:val="0"/>
                <w:numId w:val="36"/>
              </w:numPr>
              <w:contextualSpacing/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>Պետության (ինստիտուցիոնալ մակարդակում) / հանրության ցուցաբերած հետաքրքրությունը հնարավոր փոփոխությունների նկատմամբ:</w:t>
            </w:r>
          </w:p>
        </w:tc>
      </w:tr>
      <w:tr w:rsidR="003E5A5A" w:rsidRPr="009B5456" w14:paraId="6B429787" w14:textId="77777777" w:rsidTr="002932CA">
        <w:trPr>
          <w:jc w:val="center"/>
        </w:trPr>
        <w:tc>
          <w:tcPr>
            <w:tcW w:w="9493" w:type="dxa"/>
          </w:tcPr>
          <w:p w14:paraId="49D887B3" w14:textId="77777777" w:rsidR="003E5A5A" w:rsidRPr="009B5456" w:rsidRDefault="003E5A5A" w:rsidP="002932CA">
            <w:pPr>
              <w:rPr>
                <w:rFonts w:ascii="GHEA Grapalat" w:eastAsia="Times New Roman" w:hAnsi="GHEA Grapalat"/>
                <w:i/>
                <w:noProof/>
              </w:rPr>
            </w:pPr>
            <w:r w:rsidRPr="009B5456">
              <w:rPr>
                <w:rFonts w:ascii="GHEA Grapalat" w:eastAsia="Times New Roman" w:hAnsi="GHEA Grapalat"/>
                <w:i/>
                <w:noProof/>
              </w:rPr>
              <w:t>Մեկնաբանություններ</w:t>
            </w:r>
          </w:p>
          <w:p w14:paraId="12DAB446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  <w:tr w:rsidR="003E5A5A" w:rsidRPr="009B5456" w14:paraId="249D1692" w14:textId="77777777" w:rsidTr="002932CA">
        <w:trPr>
          <w:jc w:val="center"/>
        </w:trPr>
        <w:tc>
          <w:tcPr>
            <w:tcW w:w="9493" w:type="dxa"/>
            <w:shd w:val="clear" w:color="auto" w:fill="D9D9D9" w:themeFill="background1" w:themeFillShade="D9"/>
          </w:tcPr>
          <w:p w14:paraId="74BBF56C" w14:textId="77777777" w:rsidR="003E5A5A" w:rsidRPr="009B5456" w:rsidRDefault="003E5A5A" w:rsidP="002932CA">
            <w:pPr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b/>
                <w:i/>
                <w:noProof/>
                <w:sz w:val="18"/>
                <w:szCs w:val="18"/>
              </w:rPr>
              <w:t xml:space="preserve">3. </w:t>
            </w:r>
            <w:r w:rsidRPr="009B5456"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  <w:t>Հաշվեքննելիություն</w:t>
            </w:r>
          </w:p>
          <w:p w14:paraId="69C33947" w14:textId="77777777" w:rsidR="003E5A5A" w:rsidRPr="009B5456" w:rsidRDefault="003E5A5A" w:rsidP="002932CA">
            <w:pPr>
              <w:ind w:left="360"/>
              <w:rPr>
                <w:rFonts w:ascii="GHEA Grapalat" w:eastAsia="Times New Roman" w:hAnsi="GHEA Grapalat" w:cs="Tahoma"/>
                <w:b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Հաշվեքննության հնարավոր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  <w:t xml:space="preserve"> հաշվեքննելիությունը գնահատելիս հաշվի առնվող գործոններն են.</w:t>
            </w:r>
          </w:p>
          <w:p w14:paraId="01793B2E" w14:textId="77777777" w:rsidR="003E5A5A" w:rsidRPr="009B5456" w:rsidRDefault="003E5A5A" w:rsidP="002932CA">
            <w:pPr>
              <w:numPr>
                <w:ilvl w:val="0"/>
                <w:numId w:val="34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Առաջարկվող ուղղության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հնարավոր ասպեկտները, որոնք գտնվում են ՀՊ մանդատից դուրս:</w:t>
            </w:r>
          </w:p>
          <w:p w14:paraId="22DFF3C8" w14:textId="77777777" w:rsidR="003E5A5A" w:rsidRPr="009B5456" w:rsidRDefault="003E5A5A" w:rsidP="002932CA">
            <w:pPr>
              <w:numPr>
                <w:ilvl w:val="0"/>
                <w:numId w:val="33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Հուսալի հաշվեքննության չափանիշների առկայությունը, որոնք թույլ կտան գնահատել առաջարկվող ուղղությամբ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 շրջանակում)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հաշվեքննության առարկան (առկայության դեպքում խնդրում ենք ներկայացնել):</w:t>
            </w:r>
          </w:p>
          <w:p w14:paraId="04980F9C" w14:textId="77777777" w:rsidR="003E5A5A" w:rsidRPr="009B5456" w:rsidRDefault="003E5A5A" w:rsidP="002932CA">
            <w:pPr>
              <w:numPr>
                <w:ilvl w:val="0"/>
                <w:numId w:val="33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Հավանականությունը, որ առաջարկվող ուղղությամբ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հաշվեքննության համար ՀՊ-ն կունենա տեղեկատվության բավարար հասանելիություն (տեղեկատվության սահմանափակման առերևույթ ռիսկերի առկայության դեպքում խնդրում ենք ներկայացնել):</w:t>
            </w:r>
          </w:p>
          <w:p w14:paraId="589B8B61" w14:textId="77777777" w:rsidR="003E5A5A" w:rsidRPr="009B5456" w:rsidRDefault="003E5A5A" w:rsidP="002932CA">
            <w:pPr>
              <w:numPr>
                <w:ilvl w:val="0"/>
                <w:numId w:val="33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Բավարար հմտություններով մարդկային ռեսուրսներ՝ առաջարկվող ուղղությամբ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հաշվեքննության իրականացման համար:</w:t>
            </w:r>
          </w:p>
          <w:p w14:paraId="623EF72B" w14:textId="77777777" w:rsidR="003E5A5A" w:rsidRPr="009B5456" w:rsidRDefault="003E5A5A" w:rsidP="002932CA">
            <w:pPr>
              <w:numPr>
                <w:ilvl w:val="0"/>
                <w:numId w:val="33"/>
              </w:numPr>
              <w:contextualSpacing/>
              <w:rPr>
                <w:rFonts w:ascii="GHEA Grapalat" w:eastAsia="Times New Roman" w:hAnsi="GHEA Grapalat"/>
                <w:i/>
                <w:noProof/>
                <w:sz w:val="18"/>
                <w:szCs w:val="18"/>
              </w:rPr>
            </w:pP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Տվյալ ուղղությամբ </w:t>
            </w:r>
            <w:r w:rsidRPr="009B5456">
              <w:rPr>
                <w:rFonts w:ascii="GHEA Grapalat" w:hAnsi="GHEA Grapalat"/>
                <w:i/>
                <w:noProof/>
                <w:sz w:val="18"/>
                <w:szCs w:val="18"/>
              </w:rPr>
              <w:t>(ծրագրային կետի)</w:t>
            </w:r>
            <w:r w:rsidRPr="009B5456">
              <w:rPr>
                <w:rFonts w:ascii="GHEA Grapalat" w:eastAsia="Times New Roman" w:hAnsi="GHEA Grapalat" w:cs="Tahoma"/>
                <w:i/>
                <w:noProof/>
                <w:sz w:val="18"/>
                <w:szCs w:val="18"/>
              </w:rPr>
              <w:t xml:space="preserve"> հաշվեքննության դեպքում հնարավոր հեղինակության ռիսկերը ՀՊ-ի համար:</w:t>
            </w:r>
          </w:p>
        </w:tc>
      </w:tr>
      <w:tr w:rsidR="003E5A5A" w:rsidRPr="009B5456" w14:paraId="5AA3E780" w14:textId="77777777" w:rsidTr="002932CA">
        <w:trPr>
          <w:jc w:val="center"/>
        </w:trPr>
        <w:tc>
          <w:tcPr>
            <w:tcW w:w="9493" w:type="dxa"/>
          </w:tcPr>
          <w:p w14:paraId="3977B2BC" w14:textId="77777777" w:rsidR="003E5A5A" w:rsidRPr="009B5456" w:rsidRDefault="003E5A5A" w:rsidP="002932CA">
            <w:pPr>
              <w:rPr>
                <w:rFonts w:ascii="GHEA Grapalat" w:eastAsia="Times New Roman" w:hAnsi="GHEA Grapalat"/>
                <w:i/>
                <w:noProof/>
              </w:rPr>
            </w:pPr>
            <w:r w:rsidRPr="009B5456">
              <w:rPr>
                <w:rFonts w:ascii="GHEA Grapalat" w:eastAsia="Times New Roman" w:hAnsi="GHEA Grapalat"/>
                <w:i/>
                <w:noProof/>
              </w:rPr>
              <w:t>Մեկնաբանություններ</w:t>
            </w:r>
          </w:p>
          <w:p w14:paraId="4010AC04" w14:textId="77777777" w:rsidR="003E5A5A" w:rsidRPr="009B5456" w:rsidRDefault="003E5A5A" w:rsidP="002932CA">
            <w:pPr>
              <w:rPr>
                <w:rFonts w:ascii="GHEA Grapalat" w:eastAsia="Times New Roman" w:hAnsi="GHEA Grapalat"/>
                <w:noProof/>
              </w:rPr>
            </w:pPr>
          </w:p>
        </w:tc>
      </w:tr>
    </w:tbl>
    <w:p w14:paraId="5CF4EF5E" w14:textId="77777777" w:rsidR="003E5A5A" w:rsidRPr="009B5456" w:rsidRDefault="003E5A5A" w:rsidP="003E5A5A">
      <w:pPr>
        <w:spacing w:after="0" w:line="240" w:lineRule="auto"/>
        <w:jc w:val="right"/>
        <w:rPr>
          <w:rFonts w:eastAsia="Times New Roman" w:cs="Times New Roman"/>
        </w:rPr>
      </w:pPr>
    </w:p>
    <w:p w14:paraId="3B8FC922" w14:textId="77777777" w:rsidR="003E5A5A" w:rsidRPr="009B5456" w:rsidRDefault="003E5A5A" w:rsidP="003E5A5A">
      <w:pPr>
        <w:tabs>
          <w:tab w:val="left" w:pos="993"/>
        </w:tabs>
        <w:spacing w:after="0" w:line="360" w:lineRule="auto"/>
      </w:pPr>
    </w:p>
    <w:p w14:paraId="1623EAFB" w14:textId="77777777" w:rsidR="003E5A5A" w:rsidRPr="009B5456" w:rsidRDefault="003E5A5A" w:rsidP="003E5A5A">
      <w:pPr>
        <w:tabs>
          <w:tab w:val="left" w:pos="993"/>
        </w:tabs>
        <w:spacing w:after="0" w:line="360" w:lineRule="auto"/>
        <w:rPr>
          <w:rFonts w:eastAsiaTheme="minorEastAsia" w:cs="Times New Roman"/>
          <w:lang w:val="hy-AM"/>
        </w:rPr>
      </w:pPr>
    </w:p>
    <w:p w14:paraId="2CE8F8CD" w14:textId="009D9F27" w:rsidR="003E5A5A" w:rsidRPr="001D7160" w:rsidRDefault="003E5A5A" w:rsidP="001D7160">
      <w:pPr>
        <w:rPr>
          <w:rFonts w:cs="Sylfaen"/>
          <w:sz w:val="20"/>
          <w:szCs w:val="20"/>
          <w:lang w:val="af-ZA"/>
        </w:rPr>
      </w:pPr>
    </w:p>
    <w:sectPr w:rsidR="003E5A5A" w:rsidRPr="001D7160" w:rsidSect="00983FEB">
      <w:pgSz w:w="12240" w:h="15840"/>
      <w:pgMar w:top="851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6B4"/>
    <w:multiLevelType w:val="multilevel"/>
    <w:tmpl w:val="4C84F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105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6069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314"/>
    <w:multiLevelType w:val="hybridMultilevel"/>
    <w:tmpl w:val="2BFE0644"/>
    <w:lvl w:ilvl="0" w:tplc="F84C1D6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1C66FC"/>
    <w:multiLevelType w:val="multilevel"/>
    <w:tmpl w:val="6AFE13D2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002060"/>
      </w:rPr>
    </w:lvl>
    <w:lvl w:ilvl="1">
      <w:start w:val="1"/>
      <w:numFmt w:val="none"/>
      <w:isLgl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3CD6571"/>
    <w:multiLevelType w:val="hybridMultilevel"/>
    <w:tmpl w:val="C1FA352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3FC66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39B1"/>
    <w:multiLevelType w:val="hybridMultilevel"/>
    <w:tmpl w:val="E24A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397F"/>
    <w:multiLevelType w:val="multilevel"/>
    <w:tmpl w:val="147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F37D7"/>
    <w:multiLevelType w:val="hybridMultilevel"/>
    <w:tmpl w:val="C6EE2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25AE3"/>
    <w:multiLevelType w:val="hybridMultilevel"/>
    <w:tmpl w:val="F25A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1504AD"/>
    <w:multiLevelType w:val="hybridMultilevel"/>
    <w:tmpl w:val="E46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6D1"/>
    <w:multiLevelType w:val="hybridMultilevel"/>
    <w:tmpl w:val="0ECC0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4C1299"/>
    <w:multiLevelType w:val="multilevel"/>
    <w:tmpl w:val="378204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pStyle w:val="ListParagraph"/>
      <w:lvlText w:val="%1.%2."/>
      <w:lvlJc w:val="left"/>
      <w:pPr>
        <w:ind w:left="1283" w:hanging="432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624A2"/>
    <w:multiLevelType w:val="multilevel"/>
    <w:tmpl w:val="7FDC8BBE"/>
    <w:lvl w:ilvl="0">
      <w:start w:val="1"/>
      <w:numFmt w:val="decimal"/>
      <w:lvlText w:val="ԲԱԺԻՆ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ԲԱԺԻՆ %1.ԿԵՏ 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2E873A86"/>
    <w:multiLevelType w:val="hybridMultilevel"/>
    <w:tmpl w:val="E1E8FE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6B48EE"/>
    <w:multiLevelType w:val="hybridMultilevel"/>
    <w:tmpl w:val="424251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BA5C30"/>
    <w:multiLevelType w:val="multilevel"/>
    <w:tmpl w:val="05C47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02586E"/>
    <w:multiLevelType w:val="multilevel"/>
    <w:tmpl w:val="E918F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1D10D9"/>
    <w:multiLevelType w:val="hybridMultilevel"/>
    <w:tmpl w:val="FFFFFFFF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A0C7F95"/>
    <w:multiLevelType w:val="multilevel"/>
    <w:tmpl w:val="E918F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76E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985CA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D7446"/>
    <w:multiLevelType w:val="multilevel"/>
    <w:tmpl w:val="6AFE13D2"/>
    <w:numStyleLink w:val="Style1"/>
  </w:abstractNum>
  <w:abstractNum w:abstractNumId="25" w15:restartNumberingAfterBreak="0">
    <w:nsid w:val="6B3065C4"/>
    <w:multiLevelType w:val="hybridMultilevel"/>
    <w:tmpl w:val="CA94393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204F18"/>
    <w:multiLevelType w:val="multilevel"/>
    <w:tmpl w:val="301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308CD"/>
    <w:multiLevelType w:val="multilevel"/>
    <w:tmpl w:val="6D42F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102C"/>
    <w:multiLevelType w:val="hybridMultilevel"/>
    <w:tmpl w:val="568A79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1D83CE2"/>
    <w:multiLevelType w:val="hybridMultilevel"/>
    <w:tmpl w:val="1014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83EF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D01"/>
    <w:multiLevelType w:val="hybridMultilevel"/>
    <w:tmpl w:val="798097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4"/>
  </w:num>
  <w:num w:numId="7">
    <w:abstractNumId w:val="15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0"/>
  </w:num>
  <w:num w:numId="18">
    <w:abstractNumId w:val="27"/>
  </w:num>
  <w:num w:numId="19">
    <w:abstractNumId w:val="16"/>
  </w:num>
  <w:num w:numId="20">
    <w:abstractNumId w:val="14"/>
  </w:num>
  <w:num w:numId="21">
    <w:abstractNumId w:val="18"/>
  </w:num>
  <w:num w:numId="22">
    <w:abstractNumId w:val="31"/>
  </w:num>
  <w:num w:numId="23">
    <w:abstractNumId w:val="6"/>
  </w:num>
  <w:num w:numId="24">
    <w:abstractNumId w:val="21"/>
  </w:num>
  <w:num w:numId="25">
    <w:abstractNumId w:val="19"/>
  </w:num>
  <w:num w:numId="26">
    <w:abstractNumId w:val="10"/>
  </w:num>
  <w:num w:numId="27">
    <w:abstractNumId w:val="8"/>
  </w:num>
  <w:num w:numId="28">
    <w:abstractNumId w:val="1"/>
  </w:num>
  <w:num w:numId="29">
    <w:abstractNumId w:val="20"/>
  </w:num>
  <w:num w:numId="30">
    <w:abstractNumId w:val="11"/>
  </w:num>
  <w:num w:numId="31">
    <w:abstractNumId w:val="14"/>
  </w:num>
  <w:num w:numId="32">
    <w:abstractNumId w:val="17"/>
  </w:num>
  <w:num w:numId="33">
    <w:abstractNumId w:val="30"/>
  </w:num>
  <w:num w:numId="34">
    <w:abstractNumId w:val="7"/>
  </w:num>
  <w:num w:numId="35">
    <w:abstractNumId w:val="2"/>
  </w:num>
  <w:num w:numId="36">
    <w:abstractNumId w:val="23"/>
  </w:num>
  <w:num w:numId="37">
    <w:abstractNumId w:val="25"/>
  </w:num>
  <w:num w:numId="38">
    <w:abstractNumId w:val="28"/>
  </w:num>
  <w:num w:numId="39">
    <w:abstractNumId w:val="12"/>
  </w:num>
  <w:num w:numId="40">
    <w:abstractNumId w:val="9"/>
  </w:num>
  <w:num w:numId="41">
    <w:abstractNumId w:val="26"/>
  </w:num>
  <w:num w:numId="42">
    <w:abstractNumId w:val="4"/>
  </w:num>
  <w:num w:numId="43">
    <w:abstractNumId w:val="13"/>
  </w:num>
  <w:num w:numId="44">
    <w:abstractNumId w:val="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82"/>
    <w:rsid w:val="00001182"/>
    <w:rsid w:val="000325EE"/>
    <w:rsid w:val="00044703"/>
    <w:rsid w:val="00056DB9"/>
    <w:rsid w:val="0007731C"/>
    <w:rsid w:val="00077A25"/>
    <w:rsid w:val="00085D30"/>
    <w:rsid w:val="00093976"/>
    <w:rsid w:val="000D1520"/>
    <w:rsid w:val="000D7FEA"/>
    <w:rsid w:val="000E7F96"/>
    <w:rsid w:val="000F2A78"/>
    <w:rsid w:val="00125846"/>
    <w:rsid w:val="0017537F"/>
    <w:rsid w:val="001D51D3"/>
    <w:rsid w:val="001D7160"/>
    <w:rsid w:val="002079DE"/>
    <w:rsid w:val="00263643"/>
    <w:rsid w:val="002D2020"/>
    <w:rsid w:val="002D3334"/>
    <w:rsid w:val="002E2075"/>
    <w:rsid w:val="002E2AFB"/>
    <w:rsid w:val="002E32EF"/>
    <w:rsid w:val="003151EE"/>
    <w:rsid w:val="0032374C"/>
    <w:rsid w:val="0033197F"/>
    <w:rsid w:val="00335DBD"/>
    <w:rsid w:val="0036072A"/>
    <w:rsid w:val="00366F5B"/>
    <w:rsid w:val="003677E8"/>
    <w:rsid w:val="00372A46"/>
    <w:rsid w:val="003A6BE4"/>
    <w:rsid w:val="003B548A"/>
    <w:rsid w:val="003D772E"/>
    <w:rsid w:val="003E5A5A"/>
    <w:rsid w:val="0040710B"/>
    <w:rsid w:val="00416147"/>
    <w:rsid w:val="00432DE3"/>
    <w:rsid w:val="00441F69"/>
    <w:rsid w:val="00450549"/>
    <w:rsid w:val="004805AF"/>
    <w:rsid w:val="004A586B"/>
    <w:rsid w:val="004B08CD"/>
    <w:rsid w:val="004D4004"/>
    <w:rsid w:val="004F43BD"/>
    <w:rsid w:val="00535610"/>
    <w:rsid w:val="005718D7"/>
    <w:rsid w:val="005872D6"/>
    <w:rsid w:val="00593257"/>
    <w:rsid w:val="005A0D12"/>
    <w:rsid w:val="005A163A"/>
    <w:rsid w:val="005A569F"/>
    <w:rsid w:val="005E1362"/>
    <w:rsid w:val="005F0A14"/>
    <w:rsid w:val="005F609D"/>
    <w:rsid w:val="005F7D7D"/>
    <w:rsid w:val="006000E5"/>
    <w:rsid w:val="00611AF8"/>
    <w:rsid w:val="00627ADC"/>
    <w:rsid w:val="00630961"/>
    <w:rsid w:val="00651E6E"/>
    <w:rsid w:val="00654205"/>
    <w:rsid w:val="006D187D"/>
    <w:rsid w:val="006D5AB2"/>
    <w:rsid w:val="006E6C50"/>
    <w:rsid w:val="006F4A33"/>
    <w:rsid w:val="00720103"/>
    <w:rsid w:val="00741255"/>
    <w:rsid w:val="00741790"/>
    <w:rsid w:val="00747B5C"/>
    <w:rsid w:val="00770B85"/>
    <w:rsid w:val="0079126F"/>
    <w:rsid w:val="00792D26"/>
    <w:rsid w:val="00796B8A"/>
    <w:rsid w:val="007A6660"/>
    <w:rsid w:val="007B591F"/>
    <w:rsid w:val="007C0315"/>
    <w:rsid w:val="007C72D2"/>
    <w:rsid w:val="008137E5"/>
    <w:rsid w:val="008174DF"/>
    <w:rsid w:val="008200F2"/>
    <w:rsid w:val="00824C07"/>
    <w:rsid w:val="00833761"/>
    <w:rsid w:val="00836DB4"/>
    <w:rsid w:val="008576F3"/>
    <w:rsid w:val="00863E3A"/>
    <w:rsid w:val="008659E7"/>
    <w:rsid w:val="008757CF"/>
    <w:rsid w:val="00884B15"/>
    <w:rsid w:val="008C0D96"/>
    <w:rsid w:val="008D2F66"/>
    <w:rsid w:val="008E3E76"/>
    <w:rsid w:val="00902DCB"/>
    <w:rsid w:val="00960EE0"/>
    <w:rsid w:val="00971005"/>
    <w:rsid w:val="00977DE3"/>
    <w:rsid w:val="00983FEB"/>
    <w:rsid w:val="009B118C"/>
    <w:rsid w:val="009B18AD"/>
    <w:rsid w:val="009B5456"/>
    <w:rsid w:val="00A07515"/>
    <w:rsid w:val="00A15CE6"/>
    <w:rsid w:val="00A17505"/>
    <w:rsid w:val="00A43ADD"/>
    <w:rsid w:val="00A6041C"/>
    <w:rsid w:val="00A72110"/>
    <w:rsid w:val="00A82426"/>
    <w:rsid w:val="00A824B3"/>
    <w:rsid w:val="00AA109D"/>
    <w:rsid w:val="00AB355C"/>
    <w:rsid w:val="00AB7E69"/>
    <w:rsid w:val="00AC49D0"/>
    <w:rsid w:val="00AE2B3C"/>
    <w:rsid w:val="00B02376"/>
    <w:rsid w:val="00B05D62"/>
    <w:rsid w:val="00B44B4E"/>
    <w:rsid w:val="00B44C2E"/>
    <w:rsid w:val="00B827E4"/>
    <w:rsid w:val="00BB68A0"/>
    <w:rsid w:val="00BE3993"/>
    <w:rsid w:val="00BE515C"/>
    <w:rsid w:val="00BF110B"/>
    <w:rsid w:val="00C43944"/>
    <w:rsid w:val="00C44202"/>
    <w:rsid w:val="00C74432"/>
    <w:rsid w:val="00CA453E"/>
    <w:rsid w:val="00CD6684"/>
    <w:rsid w:val="00D000D8"/>
    <w:rsid w:val="00D138F6"/>
    <w:rsid w:val="00D326AF"/>
    <w:rsid w:val="00D7353C"/>
    <w:rsid w:val="00D738BE"/>
    <w:rsid w:val="00D75F8B"/>
    <w:rsid w:val="00D93C52"/>
    <w:rsid w:val="00DF33E8"/>
    <w:rsid w:val="00E117F7"/>
    <w:rsid w:val="00E17F48"/>
    <w:rsid w:val="00E26CC7"/>
    <w:rsid w:val="00E35BBE"/>
    <w:rsid w:val="00E3673E"/>
    <w:rsid w:val="00E37EC6"/>
    <w:rsid w:val="00E4458A"/>
    <w:rsid w:val="00E44F9F"/>
    <w:rsid w:val="00E569B7"/>
    <w:rsid w:val="00E7217D"/>
    <w:rsid w:val="00EB20C1"/>
    <w:rsid w:val="00ED4FDD"/>
    <w:rsid w:val="00EE1EDE"/>
    <w:rsid w:val="00F25C42"/>
    <w:rsid w:val="00F271D5"/>
    <w:rsid w:val="00F5481D"/>
    <w:rsid w:val="00F57431"/>
    <w:rsid w:val="00F629B0"/>
    <w:rsid w:val="00F816B9"/>
    <w:rsid w:val="00FC36FC"/>
    <w:rsid w:val="00FD1741"/>
    <w:rsid w:val="00FE0AC6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9133CA"/>
  <w15:chartTrackingRefBased/>
  <w15:docId w15:val="{172BA636-D08C-4F54-9841-AC58CE83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372A46"/>
    <w:pPr>
      <w:keepNext/>
      <w:keepLines/>
      <w:numPr>
        <w:ilvl w:val="0"/>
        <w:numId w:val="0"/>
      </w:numPr>
      <w:spacing w:after="0" w:line="276" w:lineRule="auto"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960EE0"/>
    <w:pPr>
      <w:keepNext/>
      <w:keepLines/>
      <w:spacing w:before="360" w:after="120" w:line="240" w:lineRule="auto"/>
      <w:ind w:left="425"/>
      <w:outlineLvl w:val="1"/>
    </w:pPr>
    <w:rPr>
      <w:b/>
      <w:bCs/>
      <w:color w:val="002060"/>
      <w:sz w:val="26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5"/>
      </w:numPr>
      <w:spacing w:before="60" w:after="0" w:line="240" w:lineRule="auto"/>
      <w:outlineLvl w:val="3"/>
    </w:pPr>
    <w:rPr>
      <w:i/>
      <w:iCs/>
      <w:color w:val="0070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7C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7C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7C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7C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7C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46"/>
    <w:rPr>
      <w:b/>
      <w:bCs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960EE0"/>
    <w:rPr>
      <w:b/>
      <w:bCs/>
      <w:color w:val="002060"/>
      <w:sz w:val="26"/>
      <w:szCs w:val="28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960EE0"/>
    <w:pPr>
      <w:numPr>
        <w:ilvl w:val="1"/>
        <w:numId w:val="20"/>
      </w:numPr>
      <w:contextualSpacing/>
      <w:jc w:val="both"/>
    </w:pPr>
    <w:rPr>
      <w:lang w:val="hy-AM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nhideWhenUsed/>
    <w:qFormat/>
    <w:rsid w:val="0040710B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rsid w:val="0040710B"/>
    <w:rPr>
      <w:color w:val="0070C0"/>
      <w:sz w:val="28"/>
      <w:szCs w:val="20"/>
    </w:rPr>
  </w:style>
  <w:style w:type="paragraph" w:customStyle="1" w:styleId="Default">
    <w:name w:val="Default"/>
    <w:rsid w:val="000E7F96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2"/>
      <w:szCs w:val="22"/>
      <w:lang w:bidi="hi-IN"/>
    </w:rPr>
  </w:style>
  <w:style w:type="character" w:styleId="CommentReference">
    <w:name w:val="annotation reference"/>
    <w:basedOn w:val="DefaultParagraphFont"/>
    <w:semiHidden/>
    <w:unhideWhenUsed/>
    <w:rsid w:val="003151EE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7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7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7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7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7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8757CF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884B15"/>
    <w:pPr>
      <w:numPr>
        <w:ilvl w:val="1"/>
      </w:numPr>
      <w:spacing w:before="360"/>
    </w:pPr>
    <w:rPr>
      <w:rFonts w:eastAsiaTheme="minorEastAsia" w:cstheme="minorBidi"/>
      <w:b/>
      <w:bCs/>
      <w:color w:val="002060"/>
      <w:spacing w:val="1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84B15"/>
    <w:rPr>
      <w:rFonts w:eastAsiaTheme="minorEastAsia" w:cstheme="minorBidi"/>
      <w:b/>
      <w:bCs/>
      <w:color w:val="002060"/>
      <w:spacing w:val="15"/>
      <w:sz w:val="26"/>
      <w:szCs w:val="26"/>
    </w:rPr>
  </w:style>
  <w:style w:type="paragraph" w:styleId="Revision">
    <w:name w:val="Revision"/>
    <w:hidden/>
    <w:uiPriority w:val="99"/>
    <w:semiHidden/>
    <w:rsid w:val="00FE249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8BE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8BE"/>
    <w:rPr>
      <w:b/>
      <w:bCs/>
      <w:color w:val="0070C0"/>
      <w:sz w:val="20"/>
      <w:szCs w:val="20"/>
    </w:rPr>
  </w:style>
  <w:style w:type="table" w:styleId="TableGrid">
    <w:name w:val="Table Grid"/>
    <w:basedOn w:val="TableNormal"/>
    <w:uiPriority w:val="39"/>
    <w:rsid w:val="00A07515"/>
    <w:pPr>
      <w:spacing w:after="0" w:line="240" w:lineRule="auto"/>
    </w:pPr>
    <w:rPr>
      <w:rFonts w:asciiTheme="minorHAnsi" w:eastAsiaTheme="minorEastAsia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41F69"/>
    <w:rPr>
      <w:vertAlign w:val="superscript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441F69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x.com/about-cosign-digital-signatur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3AC8AMAA4AC8AMgAwADIANQAgADEANgA6ADUAMAAgACsAMAA0ADoAMAAwAAAAAAAAAAAAAAAAAAAAAAAAAAAAAAAAAAAAAAAAAAAAAAAAAAAAAAAAAAAAAAAAAAAAAAAAAAAAAAAAAAAAAAAAAAAAAAAAAAAAAAAAAAAAAADpBwgAAwAbABAAMgA0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DgyNzEyNTA1MlowIwYJKoZIhvcNAQkEMRYEFENyQli+b8I212wd9b1H6VeysVleMCsGCyqGSIb3DQEJEAIMMRwwGjAYMBYEFKXkr75aAmzDqFqYeGQWxGan4+KlMA0GCSqGSIb3DQEBAQUABIIBABrmeQth6n9lTx+Fnx6MRg87Mc7CLWCHGPHkQHD8r4nqyUqhmyTYYfPn7z+L9U1E6B/BO/KgJ7HzlQHi0keVEk5z8qWGmvKTlyIaUPwqrwlBAZ/wu8jzo9CBT9Q1AdJEa9B1RWyebgK1v6gLu+gTxquVWPm18NbyjytG/M7q6MPP7AZCmQnAIb6G9mJ14UYECPDJRFXX8Q4qNXCCZk/cQKgfGB/bURkgq6U4HE6NWn4BOcXJOlYCs2bk41QEg/Sy0uLrWotLcS6wFPnQ7qj/S+FP0d5kAWhNzHTnPn3qPYBXG1PAK5USbvWFDlpeuxZgTmKhANYdqWPFBr77y5SYOb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2358</Words>
  <Characters>13442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>https:/mul2.armsai.am/tasks/21180/oneclick?token=b2422e39a2c5b76f5254c556851caff9</cp:keywords>
  <dc:description/>
  <cp:lastModifiedBy>Anna Akbalyan</cp:lastModifiedBy>
  <cp:revision>4</cp:revision>
  <dcterms:created xsi:type="dcterms:W3CDTF">2025-08-27T13:31:00Z</dcterms:created>
  <dcterms:modified xsi:type="dcterms:W3CDTF">2025-08-27T13:36:00Z</dcterms:modified>
</cp:coreProperties>
</file>