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D2" w:rsidRPr="006126D2" w:rsidRDefault="006126D2" w:rsidP="00162C99">
      <w:pPr>
        <w:spacing w:after="0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62C99" w:rsidRPr="00913306" w:rsidRDefault="000D0361" w:rsidP="00913306">
      <w:pPr>
        <w:spacing w:after="0"/>
        <w:jc w:val="center"/>
        <w:rPr>
          <w:rFonts w:ascii="GHEA Grapalat" w:hAnsi="GHEA Grapalat" w:cs="Courier New"/>
          <w:b/>
          <w:sz w:val="24"/>
          <w:szCs w:val="24"/>
        </w:rPr>
      </w:pP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Հ</w:t>
      </w:r>
      <w:r w:rsidR="006126D2" w:rsidRPr="00913306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Ա Յ Տ Ա Ր Ա Ր ՈՒ Թ Յ ՈՒ Ն</w:t>
      </w:r>
      <w:r w:rsidRPr="00913306">
        <w:rPr>
          <w:rFonts w:ascii="GHEA Grapalat" w:hAnsi="GHEA Grapalat" w:cs="Courier New"/>
          <w:b/>
          <w:sz w:val="24"/>
          <w:szCs w:val="24"/>
        </w:rPr>
        <w:br/>
      </w:r>
    </w:p>
    <w:p w:rsidR="00162C99" w:rsidRPr="00162C99" w:rsidRDefault="00162C99" w:rsidP="00913306">
      <w:pPr>
        <w:pStyle w:val="Title"/>
        <w:spacing w:line="276" w:lineRule="auto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162C99">
        <w:rPr>
          <w:rFonts w:ascii="GHEA Grapalat" w:hAnsi="GHEA Grapalat"/>
          <w:i w:val="0"/>
          <w:spacing w:val="0"/>
          <w:sz w:val="24"/>
          <w:szCs w:val="24"/>
          <w:lang w:val="hy-AM"/>
        </w:rPr>
        <w:t xml:space="preserve">Հաշվեքննիչ պալատում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փորձագետ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ներգրավելու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դեպքում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ՀՀ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կառավարության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2018թ. </w:t>
      </w:r>
      <w:proofErr w:type="spellStart"/>
      <w:proofErr w:type="gram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օգոստոսի</w:t>
      </w:r>
      <w:proofErr w:type="spellEnd"/>
      <w:proofErr w:type="gram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2-ի N 878-Ն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որոշմամբ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հաստատված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կարգի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13-րդ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կետով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նախատեսված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սահմանափակումների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բացակայության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մասին</w:t>
      </w:r>
      <w:proofErr w:type="spellEnd"/>
    </w:p>
    <w:p w:rsidR="00162C99" w:rsidRPr="00162C99" w:rsidRDefault="00162C99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fr-FR"/>
        </w:rPr>
      </w:pPr>
    </w:p>
    <w:p w:rsidR="00162C99" w:rsidRPr="00913306" w:rsidRDefault="00913306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  <w:t xml:space="preserve">  </w:t>
      </w:r>
    </w:p>
    <w:p w:rsidR="00162C99" w:rsidRPr="00913306" w:rsidRDefault="00162C99" w:rsidP="00162C99">
      <w:pPr>
        <w:pStyle w:val="norm"/>
        <w:spacing w:line="276" w:lineRule="auto"/>
        <w:ind w:left="426" w:firstLine="294"/>
        <w:rPr>
          <w:rFonts w:ascii="GHEA Grapalat" w:hAnsi="GHEA Grapalat" w:cs="Arial Armenian"/>
          <w:i/>
          <w:spacing w:val="-8"/>
          <w:sz w:val="24"/>
          <w:szCs w:val="24"/>
          <w:lang w:val="fr-FR"/>
        </w:rPr>
      </w:pPr>
      <w:r w:rsidRPr="00913306">
        <w:rPr>
          <w:rFonts w:ascii="GHEA Grapalat" w:hAnsi="GHEA Grapalat" w:cs="Arial"/>
          <w:b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«Չի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թույլատրվում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հավակնորդի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հետ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պ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այմանագիր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կնքել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եթե</w:t>
      </w:r>
      <w:r w:rsidRPr="00913306">
        <w:rPr>
          <w:rFonts w:ascii="Calibri" w:hAnsi="Calibri" w:cs="Calibri"/>
          <w:i/>
          <w:color w:val="000000"/>
          <w:spacing w:val="-8"/>
          <w:sz w:val="24"/>
          <w:szCs w:val="24"/>
          <w:lang w:val="hy-AM"/>
        </w:rPr>
        <w:t> 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անձը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պաշտոնից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ազատվել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ծառայությունը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վերջին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մեկ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տարվա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ընթացքում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դադարեցվել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կարգապահական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տույժ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կիառելու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փորձաշրջանը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չանցնելու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խախտմամբ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պաշտոնի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, «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Հանրային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ծառայության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մասին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»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անհամատեղելիության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պահանջները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չպահպանելու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քաղաքացիությունը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դադարեցնելո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ուժի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մտած՝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նրա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նկատմամբ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կայացված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մեղադրական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դատավճռի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բացառությամբ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այն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տուգանք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ինչպես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նաև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երկու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տարի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անընդմեջ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իր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վերապատրաստման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անհատական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ծրագրով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հաստատված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կրեդիտները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չստանալու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:»</w:t>
      </w:r>
    </w:p>
    <w:p w:rsidR="00162C99" w:rsidRPr="00162C99" w:rsidRDefault="00162C99" w:rsidP="00162C99">
      <w:pPr>
        <w:pStyle w:val="norm"/>
        <w:spacing w:line="276" w:lineRule="auto"/>
        <w:ind w:firstLine="0"/>
        <w:rPr>
          <w:rFonts w:ascii="GHEA Grapalat" w:hAnsi="GHEA Grapalat"/>
          <w:sz w:val="26"/>
          <w:szCs w:val="26"/>
          <w:lang w:val="hy-AM"/>
        </w:rPr>
      </w:pPr>
    </w:p>
    <w:p w:rsidR="000D0361" w:rsidRPr="00162C99" w:rsidRDefault="00162C99" w:rsidP="006126D2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Հայտնում եմ, որ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ՀՀ կառավարության 2018 թվականի օգոստոսի 2-ի 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Առանձին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խնդիրների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իրականացման համար պետական մարմինների կողմից փորձագետի ներգրավման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կարգը և դեպքերը սահմանելու մասին» № 878-Ն որոշմամբ հաստատված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կարգի 13-րդ 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կետով նախատեսված սահմանափակումներ չկան։</w:t>
      </w:r>
    </w:p>
    <w:p w:rsidR="006126D2" w:rsidRPr="00162C99" w:rsidRDefault="006126D2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0D0361" w:rsidRPr="00162C99" w:rsidRDefault="000D0361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</w:pP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br/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                                 </w:t>
      </w: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Դիմող՝</w:t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>____________________________________</w:t>
      </w:r>
      <w:r w:rsidRPr="00162C99">
        <w:rPr>
          <w:rFonts w:ascii="GHEA Grapalat" w:hAnsi="GHEA Grapalat" w:cs="Courier New"/>
          <w:b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</w:t>
      </w:r>
      <w:r w:rsid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         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(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ստորագրություն</w:t>
      </w:r>
      <w:r w:rsidR="006126D2"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,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,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ազգանուն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)</w:t>
      </w: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BD480B" w:rsidRPr="00162C99" w:rsidRDefault="000D0361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162C99">
        <w:rPr>
          <w:rFonts w:ascii="GHEA Grapalat" w:hAnsi="GHEA Grapalat" w:cs="Courier New"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             </w:t>
      </w:r>
      <w:r w:rsid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="00913306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         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»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__________________ 2025 թ.</w:t>
      </w:r>
    </w:p>
    <w:sectPr w:rsidR="00BD480B" w:rsidRPr="00162C99" w:rsidSect="000D0361">
      <w:pgSz w:w="12240" w:h="15840"/>
      <w:pgMar w:top="450" w:right="85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00003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D20"/>
    <w:multiLevelType w:val="hybridMultilevel"/>
    <w:tmpl w:val="77CA0E14"/>
    <w:lvl w:ilvl="0" w:tplc="F8CAEDFC">
      <w:start w:val="1"/>
      <w:numFmt w:val="decimal"/>
      <w:lvlText w:val="%1."/>
      <w:lvlJc w:val="center"/>
      <w:pPr>
        <w:ind w:left="79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F9"/>
    <w:rsid w:val="000D0361"/>
    <w:rsid w:val="00162C99"/>
    <w:rsid w:val="00285A3E"/>
    <w:rsid w:val="006126D2"/>
    <w:rsid w:val="00913306"/>
    <w:rsid w:val="009B43F9"/>
    <w:rsid w:val="00A14354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85AA3-7D7C-4E50-9AA2-AE2A209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3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2C99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162C99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BodyText2">
    <w:name w:val="Body Text 2"/>
    <w:basedOn w:val="Normal"/>
    <w:link w:val="BodyText2Char"/>
    <w:rsid w:val="00162C99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162C99"/>
    <w:rPr>
      <w:rFonts w:ascii="ArTarumianTimes" w:eastAsia="Times New Roman" w:hAnsi="ArTarumianTimes" w:cs="Times New Roman"/>
      <w:i/>
      <w:sz w:val="20"/>
      <w:szCs w:val="24"/>
    </w:rPr>
  </w:style>
  <w:style w:type="paragraph" w:customStyle="1" w:styleId="norm">
    <w:name w:val="norm"/>
    <w:basedOn w:val="Normal"/>
    <w:rsid w:val="00162C9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Պետոյան</dc:creator>
  <cp:keywords/>
  <dc:description/>
  <cp:lastModifiedBy>Anna Akbalyan</cp:lastModifiedBy>
  <cp:revision>2</cp:revision>
  <dcterms:created xsi:type="dcterms:W3CDTF">2025-12-23T06:55:00Z</dcterms:created>
  <dcterms:modified xsi:type="dcterms:W3CDTF">2025-12-23T06:55:00Z</dcterms:modified>
</cp:coreProperties>
</file>