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D2" w:rsidRPr="006126D2" w:rsidRDefault="006126D2" w:rsidP="00162C99">
      <w:pPr>
        <w:spacing w:after="0"/>
        <w:rPr>
          <w:rFonts w:ascii="GHEA Grapalat" w:hAnsi="GHEA Grapalat"/>
          <w:sz w:val="24"/>
          <w:szCs w:val="24"/>
        </w:rPr>
      </w:pPr>
    </w:p>
    <w:p w:rsidR="00162C99" w:rsidRPr="00913306" w:rsidRDefault="000D0361" w:rsidP="00913306">
      <w:pPr>
        <w:spacing w:after="0"/>
        <w:jc w:val="center"/>
        <w:rPr>
          <w:rFonts w:ascii="GHEA Grapalat" w:hAnsi="GHEA Grapalat" w:cs="Courier New"/>
          <w:b/>
          <w:sz w:val="24"/>
          <w:szCs w:val="24"/>
        </w:rPr>
      </w:pPr>
      <w:r w:rsidRPr="00913306">
        <w:rPr>
          <w:rFonts w:ascii="GHEA Grapalat" w:hAnsi="GHEA Grapalat" w:cs="Courier New"/>
          <w:b/>
          <w:sz w:val="24"/>
          <w:szCs w:val="24"/>
          <w:shd w:val="clear" w:color="auto" w:fill="FFFFFF"/>
        </w:rPr>
        <w:t>Հ</w:t>
      </w:r>
      <w:r w:rsidR="006126D2" w:rsidRPr="00913306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Pr="00913306">
        <w:rPr>
          <w:rFonts w:ascii="GHEA Grapalat" w:hAnsi="GHEA Grapalat" w:cs="Courier New"/>
          <w:b/>
          <w:sz w:val="24"/>
          <w:szCs w:val="24"/>
          <w:shd w:val="clear" w:color="auto" w:fill="FFFFFF"/>
        </w:rPr>
        <w:t>Ա Յ Տ Ա Ր Ա Ր ՈՒ Թ Յ ՈՒ Ն</w:t>
      </w:r>
      <w:r w:rsidRPr="00913306">
        <w:rPr>
          <w:rFonts w:ascii="GHEA Grapalat" w:hAnsi="GHEA Grapalat" w:cs="Courier New"/>
          <w:b/>
          <w:sz w:val="24"/>
          <w:szCs w:val="24"/>
        </w:rPr>
        <w:br/>
      </w:r>
    </w:p>
    <w:p w:rsidR="00162C99" w:rsidRPr="00162C99" w:rsidRDefault="00162C99" w:rsidP="00913306">
      <w:pPr>
        <w:pStyle w:val="Title"/>
        <w:spacing w:line="276" w:lineRule="auto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162C99">
        <w:rPr>
          <w:rFonts w:ascii="GHEA Grapalat" w:hAnsi="GHEA Grapalat"/>
          <w:i w:val="0"/>
          <w:spacing w:val="0"/>
          <w:sz w:val="24"/>
          <w:szCs w:val="24"/>
          <w:lang w:val="hy-AM"/>
        </w:rPr>
        <w:t xml:space="preserve">Հաշվեքննիչ պալատում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փորձագետ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ներգրավելու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դեպքում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ՀՀ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կառավարության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2018թ. </w:t>
      </w:r>
      <w:proofErr w:type="spellStart"/>
      <w:proofErr w:type="gram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օգոստոսի</w:t>
      </w:r>
      <w:proofErr w:type="spellEnd"/>
      <w:proofErr w:type="gram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2-ի N 878-Ն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որոշմամբ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հաստատված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կարգի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13-րդ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կետով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նախատեսված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սահմանափակումների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բացակայության</w:t>
      </w:r>
      <w:proofErr w:type="spellEnd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Pr="00162C99">
        <w:rPr>
          <w:rFonts w:ascii="GHEA Grapalat" w:hAnsi="GHEA Grapalat"/>
          <w:i w:val="0"/>
          <w:spacing w:val="0"/>
          <w:sz w:val="24"/>
          <w:szCs w:val="24"/>
          <w:lang w:val="fr-FR"/>
        </w:rPr>
        <w:t>մասին</w:t>
      </w:r>
      <w:proofErr w:type="spellEnd"/>
    </w:p>
    <w:p w:rsidR="00162C99" w:rsidRPr="00162C99" w:rsidRDefault="00162C99" w:rsidP="00162C99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4"/>
          <w:szCs w:val="24"/>
          <w:lang w:val="fr-FR"/>
        </w:rPr>
      </w:pPr>
    </w:p>
    <w:p w:rsidR="00162C99" w:rsidRPr="00913306" w:rsidRDefault="00913306" w:rsidP="00162C99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/>
          <w:spacing w:val="-8"/>
          <w:sz w:val="24"/>
          <w:szCs w:val="24"/>
          <w:lang w:val="hy-AM"/>
        </w:rPr>
        <w:t xml:space="preserve">  </w:t>
      </w:r>
    </w:p>
    <w:p w:rsidR="00162C99" w:rsidRPr="00913306" w:rsidRDefault="00162C99" w:rsidP="00162C99">
      <w:pPr>
        <w:pStyle w:val="norm"/>
        <w:spacing w:line="276" w:lineRule="auto"/>
        <w:ind w:left="426" w:firstLine="294"/>
        <w:rPr>
          <w:rFonts w:ascii="GHEA Grapalat" w:hAnsi="GHEA Grapalat" w:cs="Arial Armenian"/>
          <w:i/>
          <w:spacing w:val="-8"/>
          <w:sz w:val="24"/>
          <w:szCs w:val="24"/>
          <w:lang w:val="fr-FR"/>
        </w:rPr>
      </w:pPr>
      <w:r w:rsidRPr="00913306">
        <w:rPr>
          <w:rFonts w:ascii="GHEA Grapalat" w:hAnsi="GHEA Grapalat" w:cs="Arial"/>
          <w:b/>
          <w:i/>
          <w:color w:val="000000"/>
          <w:spacing w:val="-8"/>
          <w:sz w:val="24"/>
          <w:szCs w:val="24"/>
          <w:lang w:val="fr-FR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fr-FR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«Չի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թույլատրվում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հավակնորդի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հետ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պ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այմանագիր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կնքել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եթե</w:t>
      </w:r>
      <w:r w:rsidRPr="00913306">
        <w:rPr>
          <w:rFonts w:ascii="Calibri" w:hAnsi="Calibri" w:cs="Calibri"/>
          <w:i/>
          <w:color w:val="000000"/>
          <w:spacing w:val="-8"/>
          <w:sz w:val="24"/>
          <w:szCs w:val="24"/>
          <w:lang w:val="hy-AM"/>
        </w:rPr>
        <w:t> 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տվյալ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անձը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պաշտոնից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ազատվել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կամ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տվյալ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անձի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ծառայությունը</w:t>
      </w:r>
      <w:r w:rsidRPr="00913306">
        <w:rPr>
          <w:rFonts w:ascii="GHEA Grapalat" w:hAnsi="GHEA Grapalat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վերջին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մեկ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տարվա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ընթացքում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դադարեցվել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է</w:t>
      </w:r>
      <w:r w:rsidRPr="00913306">
        <w:rPr>
          <w:rFonts w:ascii="GHEA Grapalat" w:hAnsi="GHEA Grapalat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կարգապահական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տույժ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color w:val="000000"/>
          <w:spacing w:val="-8"/>
          <w:sz w:val="24"/>
          <w:szCs w:val="24"/>
          <w:lang w:val="hy-AM"/>
        </w:rPr>
        <w:t>կիառելու</w:t>
      </w:r>
      <w:r w:rsidRPr="00913306">
        <w:rPr>
          <w:rFonts w:ascii="GHEA Grapalat" w:hAnsi="GHEA Grapalat" w:cs="Arial Armenian"/>
          <w:i/>
          <w:color w:val="000000"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օրենքով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սահմանված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փորձաշրջանը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չանցնելու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օրենքի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խախտմամբ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պաշտոնի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նշանակվելու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>, «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Հանրային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ծառայության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մասին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»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Հայաստանի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Հանրապետության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օրենքով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սահմանված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անհամատեղելիության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պահանջները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չպահպանելու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Հայաստանի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Հանրապետության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քաղաքացիությունը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դադարեցնելո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fr-FR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ուժի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մեջ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մտած՝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նրա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նկատմամբ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կայացված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մեղադրական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դատավճռի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դեպքերում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բացառությամբ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այն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դեպքերի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երբ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նշանակվել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է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տուգանք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,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ինչպես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նաև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երկու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տարի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անընդմեջ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իր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մեղքով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վերապատրաստման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անհատական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ծրագրով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հաստատված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կրեդիտները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չստանալու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 xml:space="preserve"> </w:t>
      </w:r>
      <w:r w:rsidRPr="00913306">
        <w:rPr>
          <w:rFonts w:ascii="GHEA Grapalat" w:hAnsi="GHEA Grapalat" w:cs="Arial"/>
          <w:i/>
          <w:spacing w:val="-8"/>
          <w:sz w:val="24"/>
          <w:szCs w:val="24"/>
          <w:lang w:val="hy-AM"/>
        </w:rPr>
        <w:t>դեպքում</w:t>
      </w:r>
      <w:r w:rsidRPr="00913306">
        <w:rPr>
          <w:rFonts w:ascii="GHEA Grapalat" w:hAnsi="GHEA Grapalat" w:cs="Arial Armenian"/>
          <w:i/>
          <w:spacing w:val="-8"/>
          <w:sz w:val="24"/>
          <w:szCs w:val="24"/>
          <w:lang w:val="hy-AM"/>
        </w:rPr>
        <w:t>:»</w:t>
      </w:r>
    </w:p>
    <w:p w:rsidR="00162C99" w:rsidRPr="00162C99" w:rsidRDefault="00162C99" w:rsidP="00162C99">
      <w:pPr>
        <w:pStyle w:val="norm"/>
        <w:spacing w:line="276" w:lineRule="auto"/>
        <w:ind w:firstLine="0"/>
        <w:rPr>
          <w:rFonts w:ascii="GHEA Grapalat" w:hAnsi="GHEA Grapalat"/>
          <w:sz w:val="26"/>
          <w:szCs w:val="26"/>
          <w:lang w:val="hy-AM"/>
        </w:rPr>
      </w:pPr>
    </w:p>
    <w:p w:rsidR="000D0361" w:rsidRPr="00162C99" w:rsidRDefault="00162C99" w:rsidP="006126D2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ab/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Հայտնում եմ, որ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ՀՀ կառավարության 2018 թվականի օգոստոսի 2-ի «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Առանձին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խնդիրների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իրականացման համար պետական մարմինների կողմից փորձագետի ներգրավման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կարգը և դեպքերը սահմանելու մասին» № 878-Ն որոշմամբ հաստատված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կարգի 13-րդ </w:t>
      </w:r>
      <w:r w:rsidR="006126D2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կետով նախատեսված սահմանափակումներ չկան։</w:t>
      </w:r>
    </w:p>
    <w:p w:rsidR="006126D2" w:rsidRPr="00162C99" w:rsidRDefault="006126D2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</w:p>
    <w:p w:rsidR="00162C99" w:rsidRDefault="00162C99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ab/>
      </w:r>
      <w:r w:rsidR="000D0361"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մասին:</w:t>
      </w:r>
    </w:p>
    <w:p w:rsidR="00162C99" w:rsidRDefault="00162C99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</w:pPr>
    </w:p>
    <w:p w:rsidR="000D0361" w:rsidRPr="00162C99" w:rsidRDefault="000D0361" w:rsidP="00162C99">
      <w:pPr>
        <w:tabs>
          <w:tab w:val="left" w:pos="-270"/>
        </w:tabs>
        <w:spacing w:after="0" w:line="276" w:lineRule="auto"/>
        <w:ind w:hanging="180"/>
        <w:jc w:val="both"/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</w:pPr>
      <w:r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br/>
      </w:r>
      <w:r w:rsidRPr="006126D2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                                 </w:t>
      </w:r>
      <w:r w:rsidRPr="00162C9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>Դիմող՝</w:t>
      </w:r>
      <w:r w:rsidRPr="006126D2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>____________________________________</w:t>
      </w:r>
      <w:r w:rsidRPr="00162C99">
        <w:rPr>
          <w:rFonts w:ascii="GHEA Grapalat" w:hAnsi="GHEA Grapalat" w:cs="Courier New"/>
          <w:b/>
          <w:sz w:val="24"/>
          <w:szCs w:val="24"/>
          <w:lang w:val="fr-FR"/>
        </w:rPr>
        <w:br/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6126D2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 </w:t>
      </w:r>
      <w:r w:rsidR="006126D2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                                  </w:t>
      </w:r>
      <w:r w:rsid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                                             </w:t>
      </w:r>
      <w:r w:rsidR="006126D2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 xml:space="preserve"> 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>(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>ստորագրություն</w:t>
      </w:r>
      <w:r w:rsidR="006126D2"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>,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 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>անուն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 xml:space="preserve">, </w:t>
      </w:r>
      <w:r w:rsidRPr="00162C99">
        <w:rPr>
          <w:rFonts w:ascii="Calibri" w:hAnsi="Calibri" w:cs="Calibri"/>
          <w:sz w:val="16"/>
          <w:szCs w:val="16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hy-AM"/>
        </w:rPr>
        <w:t>ազգանուն</w:t>
      </w:r>
      <w:r w:rsidRPr="00162C99">
        <w:rPr>
          <w:rFonts w:ascii="GHEA Grapalat" w:hAnsi="GHEA Grapalat" w:cs="Courier New"/>
          <w:sz w:val="16"/>
          <w:szCs w:val="16"/>
          <w:shd w:val="clear" w:color="auto" w:fill="FFFFFF"/>
          <w:lang w:val="fr-FR"/>
        </w:rPr>
        <w:t>)</w:t>
      </w:r>
    </w:p>
    <w:p w:rsidR="00913306" w:rsidRDefault="00913306" w:rsidP="006126D2">
      <w:pPr>
        <w:spacing w:after="0" w:line="360" w:lineRule="auto"/>
        <w:ind w:left="435"/>
        <w:rPr>
          <w:rFonts w:ascii="GHEA Grapalat" w:hAnsi="GHEA Grapalat" w:cs="Courier New"/>
          <w:sz w:val="24"/>
          <w:szCs w:val="24"/>
          <w:lang w:val="fr-FR"/>
        </w:rPr>
      </w:pPr>
    </w:p>
    <w:p w:rsidR="00913306" w:rsidRDefault="00913306" w:rsidP="006126D2">
      <w:pPr>
        <w:spacing w:after="0" w:line="360" w:lineRule="auto"/>
        <w:ind w:left="435"/>
        <w:rPr>
          <w:rFonts w:ascii="GHEA Grapalat" w:hAnsi="GHEA Grapalat" w:cs="Courier New"/>
          <w:sz w:val="24"/>
          <w:szCs w:val="24"/>
          <w:lang w:val="fr-FR"/>
        </w:rPr>
      </w:pPr>
    </w:p>
    <w:p w:rsidR="00BD480B" w:rsidRPr="00162C99" w:rsidRDefault="000D0361" w:rsidP="006126D2">
      <w:pPr>
        <w:spacing w:after="0" w:line="360" w:lineRule="auto"/>
        <w:ind w:left="435"/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162C99">
        <w:rPr>
          <w:rFonts w:ascii="GHEA Grapalat" w:hAnsi="GHEA Grapalat" w:cs="Courier New"/>
          <w:sz w:val="24"/>
          <w:szCs w:val="24"/>
          <w:lang w:val="fr-FR"/>
        </w:rPr>
        <w:br/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6126D2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                            </w:t>
      </w:r>
      <w:r w:rsid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               </w:t>
      </w:r>
      <w:r w:rsidRPr="006126D2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    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 </w:t>
      </w:r>
      <w:r w:rsidR="00913306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          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</w:t>
      </w:r>
      <w:r w:rsidRPr="00162C9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«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</w:t>
      </w:r>
      <w:r w:rsidRPr="00162C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62C9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»</w:t>
      </w:r>
      <w:r w:rsidR="00B42A4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__________________ 2026</w:t>
      </w:r>
      <w:bookmarkStart w:id="0" w:name="_GoBack"/>
      <w:bookmarkEnd w:id="0"/>
      <w:r w:rsidRPr="00162C9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թ.</w:t>
      </w:r>
    </w:p>
    <w:sectPr w:rsidR="00BD480B" w:rsidRPr="00162C99" w:rsidSect="000D0361">
      <w:pgSz w:w="12240" w:h="15840"/>
      <w:pgMar w:top="450" w:right="850" w:bottom="3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86D20"/>
    <w:multiLevelType w:val="hybridMultilevel"/>
    <w:tmpl w:val="77CA0E14"/>
    <w:lvl w:ilvl="0" w:tplc="F8CAEDFC">
      <w:start w:val="1"/>
      <w:numFmt w:val="decimal"/>
      <w:lvlText w:val="%1."/>
      <w:lvlJc w:val="center"/>
      <w:pPr>
        <w:ind w:left="79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F9"/>
    <w:rsid w:val="000D0361"/>
    <w:rsid w:val="00162C99"/>
    <w:rsid w:val="006126D2"/>
    <w:rsid w:val="00913306"/>
    <w:rsid w:val="009B43F9"/>
    <w:rsid w:val="00A14354"/>
    <w:rsid w:val="00B42A4F"/>
    <w:rsid w:val="00D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A368"/>
  <w15:chartTrackingRefBased/>
  <w15:docId w15:val="{96485AA3-7D7C-4E50-9AA2-AE2A209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36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62C99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162C99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BodyText2">
    <w:name w:val="Body Text 2"/>
    <w:basedOn w:val="Normal"/>
    <w:link w:val="BodyText2Char"/>
    <w:rsid w:val="00162C99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162C99"/>
    <w:rPr>
      <w:rFonts w:ascii="ArTarumianTimes" w:eastAsia="Times New Roman" w:hAnsi="ArTarumianTimes" w:cs="Times New Roman"/>
      <w:i/>
      <w:sz w:val="20"/>
      <w:szCs w:val="24"/>
    </w:rPr>
  </w:style>
  <w:style w:type="paragraph" w:customStyle="1" w:styleId="norm">
    <w:name w:val="norm"/>
    <w:basedOn w:val="Normal"/>
    <w:rsid w:val="00162C9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Պետոյան</dc:creator>
  <cp:keywords/>
  <dc:description/>
  <cp:lastModifiedBy>Ռուզան Պետոյան</cp:lastModifiedBy>
  <cp:revision>5</cp:revision>
  <dcterms:created xsi:type="dcterms:W3CDTF">2025-10-16T08:57:00Z</dcterms:created>
  <dcterms:modified xsi:type="dcterms:W3CDTF">2026-02-10T08:39:00Z</dcterms:modified>
</cp:coreProperties>
</file>